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69" w:rsidRPr="006203DE" w:rsidRDefault="0085338D" w:rsidP="002847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</w:t>
      </w:r>
      <w:bookmarkStart w:id="0" w:name="_GoBack"/>
      <w:bookmarkEnd w:id="0"/>
      <w:r>
        <w:rPr>
          <w:b/>
          <w:sz w:val="24"/>
          <w:szCs w:val="24"/>
        </w:rPr>
        <w:t xml:space="preserve"> S5   </w:t>
      </w:r>
      <w:r w:rsidR="00284769" w:rsidRPr="006203DE">
        <w:rPr>
          <w:b/>
          <w:sz w:val="24"/>
          <w:szCs w:val="24"/>
        </w:rPr>
        <w:t>Household Debt and Credit (end of 2009)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939"/>
        <w:gridCol w:w="1421"/>
      </w:tblGrid>
      <w:tr w:rsidR="00284769" w:rsidRPr="00D90009" w:rsidTr="0049647D">
        <w:trPr>
          <w:trHeight w:val="255"/>
        </w:trPr>
        <w:tc>
          <w:tcPr>
            <w:tcW w:w="4241" w:type="pct"/>
            <w:tcBorders>
              <w:top w:val="double" w:sz="4" w:space="0" w:color="auto"/>
              <w:left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</w:rPr>
            </w:pPr>
            <w:r w:rsidRPr="00593DB8">
              <w:rPr>
                <w:rFonts w:eastAsia="Times New Roman"/>
              </w:rPr>
              <w:t>Percentage of famil</w:t>
            </w:r>
            <w:r>
              <w:rPr>
                <w:rFonts w:eastAsia="Times New Roman"/>
              </w:rPr>
              <w:t>ies with debt</w:t>
            </w:r>
            <w:r w:rsidRPr="00593DB8">
              <w:rPr>
                <w:rFonts w:eastAsia="Times New Roman"/>
              </w:rPr>
              <w:t xml:space="preserve"> (%)</w:t>
            </w:r>
          </w:p>
        </w:tc>
        <w:tc>
          <w:tcPr>
            <w:tcW w:w="759" w:type="pct"/>
            <w:tcBorders>
              <w:top w:val="double" w:sz="4" w:space="0" w:color="auto"/>
              <w:left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57.1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</w:rPr>
            </w:pPr>
            <w:r w:rsidRPr="00593DB8">
              <w:rPr>
                <w:rFonts w:eastAsia="Times New Roman"/>
              </w:rPr>
              <w:t xml:space="preserve">Percentage of families </w:t>
            </w:r>
            <w:r>
              <w:rPr>
                <w:rFonts w:eastAsia="Times New Roman"/>
              </w:rPr>
              <w:t>grant a loan</w:t>
            </w:r>
            <w:r w:rsidRPr="00593DB8">
              <w:rPr>
                <w:rFonts w:eastAsia="Times New Roman"/>
              </w:rPr>
              <w:t xml:space="preserve"> (%)</w:t>
            </w:r>
          </w:p>
        </w:tc>
        <w:tc>
          <w:tcPr>
            <w:tcW w:w="759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284769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</w:rPr>
            </w:pPr>
            <w:r w:rsidRPr="00593DB8">
              <w:rPr>
                <w:rFonts w:eastAsia="Times New Roman"/>
              </w:rPr>
              <w:t xml:space="preserve">Percentage of families </w:t>
            </w:r>
            <w:r>
              <w:rPr>
                <w:rFonts w:eastAsia="Times New Roman"/>
              </w:rPr>
              <w:t xml:space="preserve">with debt &amp; grant a loan </w:t>
            </w:r>
            <w:r w:rsidRPr="00593DB8">
              <w:rPr>
                <w:rFonts w:eastAsia="Times New Roman"/>
              </w:rPr>
              <w:t>(%)</w:t>
            </w:r>
          </w:p>
        </w:tc>
        <w:tc>
          <w:tcPr>
            <w:tcW w:w="759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284769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The median amount of debt (RMB</w:t>
            </w:r>
            <w:r w:rsidRPr="00593DB8">
              <w:rPr>
                <w:rFonts w:eastAsia="Times New Roman"/>
              </w:rPr>
              <w:t>) when incurred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593DB8">
              <w:rPr>
                <w:rFonts w:eastAsia="Times New Roman"/>
              </w:rPr>
              <w:t>,000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</w:rPr>
            </w:pPr>
            <w:r w:rsidRPr="00593DB8">
              <w:rPr>
                <w:rFonts w:eastAsia="Times New Roman"/>
              </w:rPr>
              <w:t xml:space="preserve">The median amount of </w:t>
            </w:r>
            <w:r>
              <w:rPr>
                <w:rFonts w:eastAsia="Times New Roman"/>
              </w:rPr>
              <w:t>loan (RMB</w:t>
            </w:r>
            <w:r w:rsidRPr="00593DB8">
              <w:rPr>
                <w:rFonts w:eastAsia="Times New Roman"/>
              </w:rPr>
              <w:t xml:space="preserve">) when </w:t>
            </w:r>
            <w:r>
              <w:rPr>
                <w:rFonts w:eastAsia="Times New Roman"/>
              </w:rPr>
              <w:t>grant</w:t>
            </w:r>
            <w:r w:rsidRPr="00593DB8">
              <w:rPr>
                <w:rFonts w:eastAsia="Times New Roman"/>
              </w:rPr>
              <w:t>ed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5,000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</w:rPr>
            </w:pPr>
            <w:r w:rsidRPr="00593DB8">
              <w:rPr>
                <w:rFonts w:eastAsia="Times New Roman"/>
              </w:rPr>
              <w:t>Major sources of debt (%)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593DB8">
              <w:rPr>
                <w:rFonts w:eastAsia="Times New Roman"/>
                <w:i/>
                <w:iCs/>
              </w:rPr>
              <w:t xml:space="preserve">      Relatives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70.9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593DB8">
              <w:rPr>
                <w:rFonts w:eastAsia="Times New Roman"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 xml:space="preserve"> </w:t>
            </w:r>
            <w:r w:rsidRPr="00593DB8">
              <w:rPr>
                <w:rFonts w:eastAsia="Times New Roman"/>
                <w:i/>
                <w:iCs/>
              </w:rPr>
              <w:t xml:space="preserve">   Neighbors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593DB8">
              <w:rPr>
                <w:rFonts w:eastAsia="Times New Roman"/>
                <w:i/>
                <w:iCs/>
              </w:rPr>
              <w:t xml:space="preserve">  </w:t>
            </w:r>
            <w:r>
              <w:rPr>
                <w:rFonts w:eastAsia="Times New Roman"/>
                <w:i/>
                <w:iCs/>
              </w:rPr>
              <w:t xml:space="preserve"> </w:t>
            </w:r>
            <w:r w:rsidRPr="00593DB8">
              <w:rPr>
                <w:rFonts w:eastAsia="Times New Roman"/>
                <w:i/>
                <w:iCs/>
              </w:rPr>
              <w:t xml:space="preserve">   Rural credit union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25.1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    Usury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    Others (e.g. non-local friends, fertilizer retailers)     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</w:rPr>
            </w:pPr>
            <w:r w:rsidRPr="00593DB8">
              <w:rPr>
                <w:rFonts w:eastAsia="Times New Roman"/>
              </w:rPr>
              <w:t>When borrowing from relatives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593DB8">
              <w:rPr>
                <w:rFonts w:eastAsia="Times New Roman"/>
                <w:i/>
                <w:iCs/>
              </w:rPr>
              <w:t xml:space="preserve">      Percentage of zero interest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93DB8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9</w:t>
            </w:r>
            <w:r w:rsidRPr="00593DB8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8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593DB8">
              <w:rPr>
                <w:rFonts w:eastAsia="Times New Roman"/>
                <w:i/>
                <w:iCs/>
              </w:rPr>
              <w:t xml:space="preserve">      Median monthly interest rate (%) when charging interest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593DB8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</w:rPr>
            </w:pPr>
            <w:r w:rsidRPr="00593DB8">
              <w:rPr>
                <w:rFonts w:eastAsia="Times New Roman"/>
              </w:rPr>
              <w:t>When borrowing from neighbors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593DB8">
              <w:rPr>
                <w:rFonts w:eastAsia="Times New Roman"/>
                <w:i/>
                <w:iCs/>
              </w:rPr>
              <w:t xml:space="preserve">      Percentage of zero interest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593DB8">
              <w:rPr>
                <w:rFonts w:eastAsia="Times New Roman"/>
              </w:rPr>
              <w:t>0.0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593DB8">
              <w:rPr>
                <w:rFonts w:eastAsia="Times New Roman"/>
                <w:i/>
                <w:iCs/>
              </w:rPr>
              <w:t xml:space="preserve">      Median monthly interest rate (%) when charging interest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593DB8">
              <w:rPr>
                <w:rFonts w:eastAsia="Times New Roman"/>
              </w:rPr>
              <w:t>.0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</w:rPr>
            </w:pPr>
            <w:r w:rsidRPr="00593DB8">
              <w:rPr>
                <w:rFonts w:eastAsia="Times New Roman"/>
              </w:rPr>
              <w:t>When borrowing from formal rural credit union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593DB8">
              <w:rPr>
                <w:rFonts w:eastAsia="Times New Roman"/>
                <w:i/>
                <w:iCs/>
              </w:rPr>
              <w:t xml:space="preserve">      Median monthly interest rate (%) 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593DB8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593DB8">
              <w:rPr>
                <w:rFonts w:eastAsia="Times New Roman"/>
              </w:rPr>
              <w:t xml:space="preserve">When borrowing from </w:t>
            </w:r>
            <w:r>
              <w:rPr>
                <w:rFonts w:eastAsia="Times New Roman"/>
              </w:rPr>
              <w:t>usury lenders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     </w:t>
            </w:r>
            <w:r w:rsidRPr="00593DB8">
              <w:rPr>
                <w:rFonts w:eastAsia="Times New Roman"/>
                <w:i/>
                <w:iCs/>
              </w:rPr>
              <w:t>Median monthly interest rate (%)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593DB8">
              <w:rPr>
                <w:rFonts w:eastAsia="Times New Roman"/>
              </w:rPr>
              <w:t xml:space="preserve">When borrowing from </w:t>
            </w:r>
            <w:r w:rsidRPr="00A70437">
              <w:rPr>
                <w:rFonts w:eastAsia="Times New Roman"/>
              </w:rPr>
              <w:t>others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     </w:t>
            </w:r>
            <w:r w:rsidRPr="00593DB8">
              <w:rPr>
                <w:rFonts w:eastAsia="Times New Roman"/>
                <w:i/>
                <w:iCs/>
              </w:rPr>
              <w:t>Median monthly interest rate (%)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Major</w:t>
            </w:r>
            <w:r w:rsidRPr="00593DB8">
              <w:rPr>
                <w:rFonts w:eastAsia="Times New Roman"/>
              </w:rPr>
              <w:t xml:space="preserve"> way</w:t>
            </w:r>
            <w:r>
              <w:rPr>
                <w:rFonts w:eastAsia="Times New Roman"/>
              </w:rPr>
              <w:t>s</w:t>
            </w:r>
            <w:r w:rsidRPr="00593DB8">
              <w:rPr>
                <w:rFonts w:eastAsia="Times New Roman"/>
              </w:rPr>
              <w:t xml:space="preserve"> to deal with credit constraints</w:t>
            </w:r>
            <w:r>
              <w:rPr>
                <w:rFonts w:eastAsia="Times New Roman"/>
              </w:rPr>
              <w:t xml:space="preserve"> in 2009 </w:t>
            </w:r>
            <w:r w:rsidRPr="00593DB8">
              <w:rPr>
                <w:rFonts w:eastAsia="Times New Roman"/>
              </w:rPr>
              <w:t>(%)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593DB8">
              <w:rPr>
                <w:rFonts w:eastAsia="Times New Roman"/>
                <w:i/>
                <w:iCs/>
              </w:rPr>
              <w:t xml:space="preserve">      Borrowing from relatives</w:t>
            </w:r>
            <w:r>
              <w:rPr>
                <w:rFonts w:eastAsia="Times New Roman"/>
                <w:i/>
                <w:iCs/>
              </w:rPr>
              <w:t>, neighbors</w:t>
            </w:r>
            <w:r w:rsidRPr="00593DB8"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and</w:t>
            </w:r>
            <w:r w:rsidRPr="00593DB8">
              <w:rPr>
                <w:rFonts w:eastAsia="Times New Roman"/>
                <w:i/>
                <w:iCs/>
              </w:rPr>
              <w:t xml:space="preserve"> friends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593DB8"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3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593DB8">
              <w:rPr>
                <w:rFonts w:eastAsia="Times New Roman"/>
                <w:i/>
                <w:iCs/>
              </w:rPr>
              <w:t xml:space="preserve">      Selling assets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Pr="00593DB8">
              <w:rPr>
                <w:rFonts w:eastAsia="Times New Roman"/>
              </w:rPr>
              <w:t>.6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     Working out or receiving remittance</w:t>
            </w:r>
          </w:p>
        </w:tc>
        <w:tc>
          <w:tcPr>
            <w:tcW w:w="759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284769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26.1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     Applying for a loan  </w:t>
            </w:r>
          </w:p>
        </w:tc>
        <w:tc>
          <w:tcPr>
            <w:tcW w:w="759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284769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</w:tr>
      <w:tr w:rsidR="00284769" w:rsidRPr="00D90009" w:rsidTr="0049647D">
        <w:trPr>
          <w:trHeight w:val="255"/>
        </w:trPr>
        <w:tc>
          <w:tcPr>
            <w:tcW w:w="4241" w:type="pct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593DB8">
              <w:rPr>
                <w:rFonts w:eastAsia="Times New Roman"/>
                <w:i/>
                <w:iCs/>
              </w:rPr>
              <w:t xml:space="preserve">      Borrowing from usury lenders</w:t>
            </w:r>
          </w:p>
        </w:tc>
        <w:tc>
          <w:tcPr>
            <w:tcW w:w="759" w:type="pct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284769" w:rsidRPr="00593DB8" w:rsidRDefault="00284769" w:rsidP="0049647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593DB8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</w:t>
            </w:r>
          </w:p>
        </w:tc>
      </w:tr>
    </w:tbl>
    <w:p w:rsidR="00284769" w:rsidRPr="001139C5" w:rsidRDefault="00284769" w:rsidP="00284769">
      <w:pPr>
        <w:adjustRightInd w:val="0"/>
        <w:snapToGrid w:val="0"/>
        <w:spacing w:after="0" w:line="240" w:lineRule="auto"/>
        <w:rPr>
          <w:rFonts w:cs="Calibri"/>
          <w:sz w:val="20"/>
          <w:szCs w:val="20"/>
        </w:rPr>
      </w:pPr>
      <w:r w:rsidRPr="001139C5">
        <w:rPr>
          <w:rFonts w:cs="Calibri"/>
          <w:i/>
          <w:sz w:val="20"/>
          <w:szCs w:val="20"/>
        </w:rPr>
        <w:t xml:space="preserve">Source: </w:t>
      </w:r>
      <w:r w:rsidRPr="009E1C2A">
        <w:rPr>
          <w:rFonts w:cs="Calibri"/>
          <w:sz w:val="20"/>
          <w:szCs w:val="20"/>
        </w:rPr>
        <w:t>Author’</w:t>
      </w:r>
      <w:r w:rsidR="006E16FA">
        <w:rPr>
          <w:rFonts w:cs="Calibri"/>
          <w:sz w:val="20"/>
          <w:szCs w:val="20"/>
        </w:rPr>
        <w:t>s</w:t>
      </w:r>
      <w:r w:rsidRPr="009E1C2A">
        <w:rPr>
          <w:rFonts w:cs="Calibri"/>
          <w:sz w:val="20"/>
          <w:szCs w:val="20"/>
        </w:rPr>
        <w:t xml:space="preserve"> </w:t>
      </w:r>
      <w:r w:rsidR="006E16FA">
        <w:rPr>
          <w:rFonts w:cs="Calibri"/>
          <w:sz w:val="20"/>
          <w:szCs w:val="20"/>
        </w:rPr>
        <w:t xml:space="preserve">household </w:t>
      </w:r>
      <w:r w:rsidRPr="009E1C2A">
        <w:rPr>
          <w:rFonts w:cs="Calibri"/>
          <w:sz w:val="20"/>
          <w:szCs w:val="20"/>
        </w:rPr>
        <w:t>survey data</w:t>
      </w:r>
      <w:r>
        <w:rPr>
          <w:rFonts w:cs="Calibri"/>
          <w:sz w:val="20"/>
          <w:szCs w:val="20"/>
        </w:rPr>
        <w:t>.</w:t>
      </w:r>
    </w:p>
    <w:p w:rsidR="00284769" w:rsidRPr="0033171B" w:rsidRDefault="00284769" w:rsidP="00284769">
      <w:pPr>
        <w:adjustRightInd w:val="0"/>
        <w:snapToGrid w:val="0"/>
        <w:spacing w:after="0" w:line="240" w:lineRule="auto"/>
        <w:rPr>
          <w:rFonts w:eastAsia="Times New Roman"/>
        </w:rPr>
      </w:pPr>
      <w:r w:rsidRPr="001139C5">
        <w:rPr>
          <w:rFonts w:cs="Calibri"/>
          <w:i/>
          <w:sz w:val="20"/>
          <w:szCs w:val="20"/>
        </w:rPr>
        <w:t xml:space="preserve">Notes: </w:t>
      </w:r>
      <w:r w:rsidRPr="0033171B">
        <w:rPr>
          <w:rFonts w:cs="Calibri"/>
          <w:sz w:val="20"/>
          <w:szCs w:val="20"/>
        </w:rPr>
        <w:t>“</w:t>
      </w:r>
      <w:r w:rsidRPr="0033171B">
        <w:rPr>
          <w:rFonts w:eastAsia="Times New Roman"/>
          <w:sz w:val="20"/>
          <w:szCs w:val="20"/>
        </w:rPr>
        <w:t>Major sources of debt (%)” categories stock value at the end of 2009, while “</w:t>
      </w:r>
      <w:r>
        <w:rPr>
          <w:rFonts w:eastAsia="Times New Roman"/>
          <w:sz w:val="20"/>
          <w:szCs w:val="20"/>
        </w:rPr>
        <w:t xml:space="preserve">Major </w:t>
      </w:r>
      <w:r w:rsidRPr="0033171B">
        <w:rPr>
          <w:rFonts w:eastAsia="Times New Roman"/>
          <w:sz w:val="20"/>
          <w:szCs w:val="20"/>
        </w:rPr>
        <w:t>way</w:t>
      </w:r>
      <w:r>
        <w:rPr>
          <w:rFonts w:eastAsia="Times New Roman"/>
          <w:sz w:val="20"/>
          <w:szCs w:val="20"/>
        </w:rPr>
        <w:t>s</w:t>
      </w:r>
      <w:r w:rsidRPr="0033171B">
        <w:rPr>
          <w:rFonts w:eastAsia="Times New Roman"/>
          <w:sz w:val="20"/>
          <w:szCs w:val="20"/>
        </w:rPr>
        <w:t xml:space="preserve"> to deal with credit constraints” categories flow value during 2009. Meanwhile, the latter only include</w:t>
      </w:r>
      <w:r>
        <w:rPr>
          <w:rFonts w:eastAsia="Times New Roman"/>
          <w:sz w:val="20"/>
          <w:szCs w:val="20"/>
        </w:rPr>
        <w:t>s households</w:t>
      </w:r>
      <w:r w:rsidRPr="0033171B">
        <w:rPr>
          <w:rFonts w:eastAsia="Times New Roman"/>
          <w:sz w:val="20"/>
          <w:szCs w:val="20"/>
        </w:rPr>
        <w:t xml:space="preserve"> faced with credit constraints, which accounts for 90.1% of the surveyed households.</w:t>
      </w:r>
    </w:p>
    <w:p w:rsidR="00284769" w:rsidRDefault="00284769"/>
    <w:sectPr w:rsidR="00284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69"/>
    <w:rsid w:val="00284769"/>
    <w:rsid w:val="006E16FA"/>
    <w:rsid w:val="0085338D"/>
    <w:rsid w:val="00D214C0"/>
    <w:rsid w:val="00E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F583E-9967-4CCE-8C68-166BAD2C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769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Xi</dc:creator>
  <cp:keywords/>
  <dc:description/>
  <cp:lastModifiedBy>Chen, Xi</cp:lastModifiedBy>
  <cp:revision>2</cp:revision>
  <dcterms:created xsi:type="dcterms:W3CDTF">2014-07-20T04:07:00Z</dcterms:created>
  <dcterms:modified xsi:type="dcterms:W3CDTF">2014-07-20T04:07:00Z</dcterms:modified>
</cp:coreProperties>
</file>