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D2" w:rsidRPr="008643D2" w:rsidRDefault="008643D2" w:rsidP="008643D2">
      <w:pPr>
        <w:spacing w:line="360" w:lineRule="auto"/>
        <w:rPr>
          <w:rFonts w:ascii="Times New Roman" w:eastAsia="Times New Roman" w:hAnsi="Times New Roman" w:cs="Times New Roman"/>
          <w:i/>
          <w:sz w:val="28"/>
          <w:szCs w:val="28"/>
        </w:rPr>
      </w:pPr>
      <w:r w:rsidRPr="008643D2">
        <w:rPr>
          <w:rFonts w:ascii="Times New Roman" w:eastAsia="Times New Roman" w:hAnsi="Times New Roman" w:cs="Times New Roman"/>
          <w:i/>
          <w:sz w:val="28"/>
          <w:szCs w:val="28"/>
        </w:rPr>
        <w:t>Supporting Materials and Methods</w:t>
      </w:r>
    </w:p>
    <w:p w:rsidR="008643D2" w:rsidRPr="008643D2" w:rsidRDefault="008643D2" w:rsidP="008643D2">
      <w:pPr>
        <w:spacing w:after="0" w:line="360" w:lineRule="auto"/>
        <w:rPr>
          <w:rFonts w:ascii="Times New Roman" w:eastAsia="Times New Roman" w:hAnsi="Times New Roman" w:cs="Times New Roman"/>
          <w:sz w:val="24"/>
          <w:szCs w:val="24"/>
        </w:rPr>
      </w:pPr>
      <w:r w:rsidRPr="008643D2">
        <w:rPr>
          <w:rFonts w:ascii="Times New Roman" w:eastAsia="Times New Roman" w:hAnsi="Times New Roman" w:cs="Times New Roman"/>
          <w:i/>
          <w:sz w:val="24"/>
          <w:szCs w:val="24"/>
        </w:rPr>
        <w:t>Septic patient inclusion criteria</w:t>
      </w:r>
      <w:r w:rsidRPr="008643D2">
        <w:rPr>
          <w:rFonts w:ascii="Times New Roman" w:eastAsia="Times New Roman" w:hAnsi="Times New Roman" w:cs="Times New Roman"/>
          <w:sz w:val="24"/>
          <w:szCs w:val="24"/>
        </w:rPr>
        <w:t xml:space="preserve">: Non-immunocompromised patients being treated in surgical or medical ICUs (2009-2013) were identified prospectively.  Sepsis was defined using a consensus-panel definition: microbiologically-proven, clinically-proven, or suspected infection and presence of systemic inflammatory response syndrome (SIRS) [32].  Patients were followed through hospital discharge or for 90 days after sepsis onset if discharged from the hospital prior to the 90 day time period. We were unable to obtain 90 day outcome data on 24 of 560 septic patients because they were lost to follow-up.  For these 24 patients, their last known date of follow-up was used for all determinations regarding mortality.  Finally, 31 patients who were initially classified in the critically-ill non-septic patient </w:t>
      </w:r>
      <w:proofErr w:type="gramStart"/>
      <w:r w:rsidRPr="008643D2">
        <w:rPr>
          <w:rFonts w:ascii="Times New Roman" w:eastAsia="Times New Roman" w:hAnsi="Times New Roman" w:cs="Times New Roman"/>
          <w:sz w:val="24"/>
          <w:szCs w:val="24"/>
        </w:rPr>
        <w:t>category,</w:t>
      </w:r>
      <w:proofErr w:type="gramEnd"/>
      <w:r w:rsidRPr="008643D2">
        <w:rPr>
          <w:rFonts w:ascii="Times New Roman" w:eastAsia="Times New Roman" w:hAnsi="Times New Roman" w:cs="Times New Roman"/>
          <w:sz w:val="24"/>
          <w:szCs w:val="24"/>
        </w:rPr>
        <w:t xml:space="preserve"> became septic during their ICU stay.  When this occurred, these patients were then re-classified as septic patients.   </w:t>
      </w:r>
    </w:p>
    <w:p w:rsidR="008643D2" w:rsidRPr="008643D2" w:rsidRDefault="008643D2" w:rsidP="008643D2">
      <w:pPr>
        <w:spacing w:after="0" w:line="360" w:lineRule="auto"/>
        <w:rPr>
          <w:rFonts w:ascii="Calibri" w:eastAsia="Times New Roman" w:hAnsi="Calibri" w:cs="Times New Roman"/>
        </w:rPr>
      </w:pPr>
    </w:p>
    <w:p w:rsidR="008643D2" w:rsidRPr="008643D2" w:rsidRDefault="008643D2" w:rsidP="008643D2">
      <w:pPr>
        <w:spacing w:after="0" w:line="360" w:lineRule="auto"/>
        <w:rPr>
          <w:rFonts w:ascii="Times New Roman" w:eastAsia="Times New Roman" w:hAnsi="Times New Roman" w:cs="Times New Roman"/>
          <w:b/>
          <w:sz w:val="28"/>
          <w:szCs w:val="28"/>
        </w:rPr>
      </w:pPr>
      <w:r w:rsidRPr="008643D2">
        <w:rPr>
          <w:rFonts w:ascii="Times New Roman" w:eastAsia="Times New Roman" w:hAnsi="Times New Roman" w:cs="Times New Roman"/>
          <w:i/>
          <w:sz w:val="24"/>
          <w:szCs w:val="24"/>
        </w:rPr>
        <w:t>Critically-ill non-septic patients (CINS) and healthy control patient inclusion data:</w:t>
      </w:r>
      <w:r w:rsidRPr="008643D2">
        <w:rPr>
          <w:rFonts w:ascii="Times New Roman" w:eastAsia="Times New Roman" w:hAnsi="Times New Roman" w:cs="Times New Roman"/>
          <w:sz w:val="24"/>
          <w:szCs w:val="24"/>
        </w:rPr>
        <w:t xml:space="preserve"> Non-septic, non-immunocompromised patients being treated in surgical/medical ICUs were one comparison group.  A second comparison group (Healthy controls) consisted of ambulatory volunteers at the hospital for elective surgery (ASA classification 1-3). </w:t>
      </w:r>
    </w:p>
    <w:p w:rsidR="008643D2" w:rsidRPr="008643D2" w:rsidRDefault="008643D2" w:rsidP="008643D2">
      <w:pPr>
        <w:spacing w:after="0" w:line="360" w:lineRule="auto"/>
        <w:rPr>
          <w:rFonts w:ascii="Times New Roman" w:eastAsia="Times New Roman" w:hAnsi="Times New Roman" w:cs="Times New Roman"/>
          <w:sz w:val="24"/>
          <w:szCs w:val="24"/>
        </w:rPr>
      </w:pPr>
      <w:bookmarkStart w:id="0" w:name="_GoBack"/>
      <w:bookmarkEnd w:id="0"/>
    </w:p>
    <w:p w:rsidR="008643D2" w:rsidRPr="008643D2" w:rsidRDefault="008643D2" w:rsidP="008643D2">
      <w:pPr>
        <w:spacing w:after="0" w:line="360" w:lineRule="auto"/>
        <w:rPr>
          <w:rFonts w:ascii="Times New Roman" w:eastAsia="Times New Roman" w:hAnsi="Times New Roman" w:cs="Times New Roman"/>
          <w:sz w:val="24"/>
          <w:szCs w:val="24"/>
        </w:rPr>
      </w:pPr>
      <w:r w:rsidRPr="008643D2">
        <w:rPr>
          <w:rFonts w:ascii="Times New Roman" w:eastAsia="Times New Roman" w:hAnsi="Times New Roman" w:cs="Times New Roman"/>
          <w:i/>
          <w:sz w:val="24"/>
          <w:szCs w:val="24"/>
        </w:rPr>
        <w:t xml:space="preserve">Exclusion criteria: </w:t>
      </w:r>
      <w:r w:rsidRPr="008643D2">
        <w:rPr>
          <w:rFonts w:ascii="Times New Roman" w:eastAsia="Times New Roman" w:hAnsi="Times New Roman" w:cs="Times New Roman"/>
          <w:sz w:val="24"/>
          <w:szCs w:val="24"/>
        </w:rPr>
        <w:t xml:space="preserve">Patient exclusion criteria included: HIV-1, organ transplantation, high-dose corticosteroids (≥300mgs/day hydrocortisone) or other immunosuppressive medications, viral hepatitis, and autoimmune diseases.   </w:t>
      </w:r>
    </w:p>
    <w:p w:rsidR="008643D2" w:rsidRPr="008643D2" w:rsidRDefault="008643D2" w:rsidP="008643D2">
      <w:pPr>
        <w:spacing w:after="0" w:line="360" w:lineRule="auto"/>
        <w:rPr>
          <w:rFonts w:ascii="Calibri" w:eastAsia="Times New Roman" w:hAnsi="Calibri" w:cs="Times New Roman"/>
        </w:rPr>
      </w:pPr>
    </w:p>
    <w:p w:rsidR="008643D2" w:rsidRPr="008643D2" w:rsidRDefault="008643D2" w:rsidP="008643D2">
      <w:pPr>
        <w:spacing w:after="0" w:line="360" w:lineRule="auto"/>
        <w:rPr>
          <w:rFonts w:ascii="Times New Roman" w:eastAsia="Times New Roman" w:hAnsi="Times New Roman" w:cs="Times New Roman"/>
          <w:sz w:val="24"/>
          <w:szCs w:val="24"/>
        </w:rPr>
      </w:pPr>
      <w:r w:rsidRPr="008643D2">
        <w:rPr>
          <w:rFonts w:ascii="Times New Roman" w:eastAsia="Times New Roman" w:hAnsi="Times New Roman" w:cs="Times New Roman"/>
          <w:i/>
          <w:sz w:val="24"/>
          <w:szCs w:val="24"/>
        </w:rPr>
        <w:t>Blood and Urine Collection</w:t>
      </w:r>
      <w:r w:rsidRPr="008643D2">
        <w:rPr>
          <w:rFonts w:ascii="Times New Roman" w:eastAsia="Times New Roman" w:hAnsi="Times New Roman" w:cs="Times New Roman"/>
          <w:sz w:val="24"/>
          <w:szCs w:val="24"/>
        </w:rPr>
        <w:t xml:space="preserve">:  Analyses were performed on unused blood remaining after hematologic testing.  (Septic and CINS) or blood obtained from otherwise healthy, ambulatory volunteers prior to elective surgery (Healthy control).  Within 24-72 </w:t>
      </w:r>
      <w:proofErr w:type="spellStart"/>
      <w:r w:rsidRPr="008643D2">
        <w:rPr>
          <w:rFonts w:ascii="Times New Roman" w:eastAsia="Times New Roman" w:hAnsi="Times New Roman" w:cs="Times New Roman"/>
          <w:sz w:val="24"/>
          <w:szCs w:val="24"/>
        </w:rPr>
        <w:t>hrs</w:t>
      </w:r>
      <w:proofErr w:type="spellEnd"/>
      <w:r w:rsidRPr="008643D2">
        <w:rPr>
          <w:rFonts w:ascii="Times New Roman" w:eastAsia="Times New Roman" w:hAnsi="Times New Roman" w:cs="Times New Roman"/>
          <w:sz w:val="24"/>
          <w:szCs w:val="24"/>
        </w:rPr>
        <w:t xml:space="preserve"> of patient ICU admission, blood (collected in EDTA) was retrieved daily Monday through Friday.  When quantities allowed, a portion of the whole blood sample was centrifuged for plasma; whole blood and plasma were stored at -80°C.  For detection of BK and JC, urine was typically obtained twice/week.  Quantitative-PCR was performed on whole blood samples collected on Mondays and Thursdays and on plasma samples collected on Mondays, Wednesdays, and Fridays.  </w:t>
      </w:r>
    </w:p>
    <w:p w:rsidR="008643D2" w:rsidRPr="008643D2" w:rsidRDefault="008643D2" w:rsidP="008643D2">
      <w:pPr>
        <w:spacing w:after="0" w:line="360" w:lineRule="auto"/>
        <w:rPr>
          <w:rFonts w:ascii="Times New Roman" w:eastAsia="Times New Roman" w:hAnsi="Times New Roman" w:cs="Times New Roman"/>
          <w:sz w:val="24"/>
          <w:szCs w:val="24"/>
        </w:rPr>
      </w:pPr>
    </w:p>
    <w:p w:rsidR="008643D2" w:rsidRPr="008643D2" w:rsidRDefault="008643D2" w:rsidP="008643D2">
      <w:pPr>
        <w:spacing w:line="360" w:lineRule="auto"/>
        <w:rPr>
          <w:rFonts w:ascii="Times New Roman" w:eastAsia="Times New Roman" w:hAnsi="Times New Roman" w:cs="Times New Roman"/>
          <w:sz w:val="24"/>
          <w:szCs w:val="24"/>
        </w:rPr>
      </w:pPr>
      <w:r w:rsidRPr="008643D2">
        <w:rPr>
          <w:rFonts w:ascii="Times New Roman" w:eastAsia="Times New Roman" w:hAnsi="Times New Roman" w:cs="Times New Roman"/>
          <w:sz w:val="24"/>
          <w:szCs w:val="24"/>
        </w:rPr>
        <w:t xml:space="preserve">In septic patients, a total of 3582 whole blood samples, 1329 plasma samples, and 588 urine samples underwent quantitative PCR.  The mean (+/- SEM) number of samples/patient was 5.9 (+/- 0.1), 2.2 (+/-0.08), and 1.0 (+/-0.06) for blood, plasma, and urine respectively.  In critically-ill/non-septic patients, a total of 252 blood, 116 plasma, and 52 urine samples underwent PCR.  The mean number of samples/patient was 1.6 (+/-0.05), 0.7 (+/-0.06), and 0.3 (+/-0.07) for blood, plasma, and urine respectively.  </w:t>
      </w:r>
    </w:p>
    <w:p w:rsidR="008643D2" w:rsidRPr="008643D2" w:rsidRDefault="008643D2" w:rsidP="008643D2">
      <w:pPr>
        <w:spacing w:line="360" w:lineRule="auto"/>
        <w:rPr>
          <w:rFonts w:ascii="Times New Roman" w:eastAsia="Calibri" w:hAnsi="Times New Roman" w:cs="Times New Roman"/>
          <w:sz w:val="24"/>
          <w:szCs w:val="24"/>
        </w:rPr>
      </w:pPr>
      <w:r w:rsidRPr="008643D2">
        <w:rPr>
          <w:rFonts w:ascii="Times New Roman" w:eastAsia="Times New Roman" w:hAnsi="Times New Roman" w:cs="Times New Roman"/>
          <w:i/>
          <w:sz w:val="24"/>
          <w:szCs w:val="24"/>
        </w:rPr>
        <w:lastRenderedPageBreak/>
        <w:t xml:space="preserve">Sample preparation and viral DNA detection: </w:t>
      </w:r>
      <w:r w:rsidRPr="008643D2">
        <w:rPr>
          <w:rFonts w:ascii="Times New Roman" w:eastAsia="Calibri" w:hAnsi="Times New Roman" w:cs="Times New Roman"/>
          <w:sz w:val="24"/>
          <w:szCs w:val="24"/>
        </w:rPr>
        <w:t xml:space="preserve">Samples were extracted on a </w:t>
      </w:r>
      <w:proofErr w:type="spellStart"/>
      <w:r w:rsidRPr="008643D2">
        <w:rPr>
          <w:rFonts w:ascii="Times New Roman" w:eastAsia="Calibri" w:hAnsi="Times New Roman" w:cs="Times New Roman"/>
          <w:sz w:val="24"/>
          <w:szCs w:val="24"/>
        </w:rPr>
        <w:t>NucliSens</w:t>
      </w:r>
      <w:proofErr w:type="spellEnd"/>
      <w:r w:rsidRPr="008643D2">
        <w:rPr>
          <w:rFonts w:ascii="Times New Roman" w:eastAsia="Calibri" w:hAnsi="Times New Roman" w:cs="Times New Roman"/>
          <w:sz w:val="24"/>
          <w:szCs w:val="24"/>
        </w:rPr>
        <w:t xml:space="preserve"> Easy Mag extractor (</w:t>
      </w:r>
      <w:proofErr w:type="spellStart"/>
      <w:r w:rsidRPr="008643D2">
        <w:rPr>
          <w:rFonts w:ascii="Times New Roman" w:eastAsia="Calibri" w:hAnsi="Times New Roman" w:cs="Times New Roman"/>
          <w:sz w:val="24"/>
          <w:szCs w:val="24"/>
        </w:rPr>
        <w:t>BioMérieux</w:t>
      </w:r>
      <w:proofErr w:type="spellEnd"/>
      <w:r w:rsidRPr="008643D2">
        <w:rPr>
          <w:rFonts w:ascii="Times New Roman" w:eastAsia="Calibri" w:hAnsi="Times New Roman" w:cs="Times New Roman"/>
          <w:sz w:val="24"/>
          <w:szCs w:val="24"/>
        </w:rPr>
        <w:t xml:space="preserve">).  200 </w:t>
      </w:r>
      <w:proofErr w:type="spellStart"/>
      <w:r w:rsidRPr="008643D2">
        <w:rPr>
          <w:rFonts w:ascii="Times New Roman" w:eastAsia="Calibri" w:hAnsi="Times New Roman" w:cs="Times New Roman"/>
          <w:sz w:val="24"/>
          <w:szCs w:val="24"/>
        </w:rPr>
        <w:t>uL</w:t>
      </w:r>
      <w:proofErr w:type="spellEnd"/>
      <w:r w:rsidRPr="008643D2">
        <w:rPr>
          <w:rFonts w:ascii="Times New Roman" w:eastAsia="Calibri" w:hAnsi="Times New Roman" w:cs="Times New Roman"/>
          <w:sz w:val="24"/>
          <w:szCs w:val="24"/>
        </w:rPr>
        <w:t xml:space="preserve"> of whole blood was extracted using the “Specific B” protocol.  200 </w:t>
      </w:r>
      <w:proofErr w:type="spellStart"/>
      <w:r w:rsidRPr="008643D2">
        <w:rPr>
          <w:rFonts w:ascii="Times New Roman" w:eastAsia="Calibri" w:hAnsi="Times New Roman" w:cs="Times New Roman"/>
          <w:sz w:val="24"/>
          <w:szCs w:val="24"/>
        </w:rPr>
        <w:t>uL</w:t>
      </w:r>
      <w:proofErr w:type="spellEnd"/>
      <w:r w:rsidRPr="008643D2">
        <w:rPr>
          <w:rFonts w:ascii="Times New Roman" w:eastAsia="Calibri" w:hAnsi="Times New Roman" w:cs="Times New Roman"/>
          <w:sz w:val="24"/>
          <w:szCs w:val="24"/>
        </w:rPr>
        <w:t xml:space="preserve"> of plasma or urine samples were extracted using the “Generic” protocol.  Extracts were eluted into 100 </w:t>
      </w:r>
      <w:proofErr w:type="spellStart"/>
      <w:r w:rsidRPr="008643D2">
        <w:rPr>
          <w:rFonts w:ascii="Times New Roman" w:eastAsia="Calibri" w:hAnsi="Times New Roman" w:cs="Times New Roman"/>
          <w:sz w:val="24"/>
          <w:szCs w:val="24"/>
        </w:rPr>
        <w:t>uL</w:t>
      </w:r>
      <w:proofErr w:type="spellEnd"/>
      <w:r w:rsidRPr="008643D2">
        <w:rPr>
          <w:rFonts w:ascii="Times New Roman" w:eastAsia="Calibri" w:hAnsi="Times New Roman" w:cs="Times New Roman"/>
          <w:sz w:val="24"/>
          <w:szCs w:val="24"/>
        </w:rPr>
        <w:t>.</w:t>
      </w:r>
    </w:p>
    <w:p w:rsidR="008643D2" w:rsidRPr="008643D2" w:rsidRDefault="008643D2" w:rsidP="008643D2">
      <w:pPr>
        <w:spacing w:line="360" w:lineRule="auto"/>
        <w:rPr>
          <w:rFonts w:ascii="Times New Roman" w:eastAsia="Calibri" w:hAnsi="Times New Roman" w:cs="Times New Roman"/>
          <w:sz w:val="24"/>
          <w:szCs w:val="24"/>
        </w:rPr>
      </w:pPr>
      <w:r w:rsidRPr="008643D2">
        <w:rPr>
          <w:rFonts w:ascii="Times New Roman" w:eastAsia="Calibri" w:hAnsi="Times New Roman" w:cs="Times New Roman"/>
          <w:i/>
          <w:sz w:val="24"/>
          <w:szCs w:val="24"/>
        </w:rPr>
        <w:t>Virus PCRs</w:t>
      </w:r>
      <w:r w:rsidRPr="008643D2">
        <w:rPr>
          <w:rFonts w:ascii="Times New Roman" w:eastAsia="Calibri" w:hAnsi="Times New Roman" w:cs="Times New Roman"/>
          <w:sz w:val="24"/>
          <w:szCs w:val="24"/>
        </w:rPr>
        <w:t xml:space="preserve">: Assays were obtained from the Clinical Virology Laboratory at St. Louis Children’s Hospital and are CLIA validated (Except HHV-6 and TTV).  CMV [33], EBV [34], HHV-6, and TTV [36] assays were performed on an ABI 7500 Fast system (Applied </w:t>
      </w:r>
      <w:proofErr w:type="spellStart"/>
      <w:r w:rsidRPr="008643D2">
        <w:rPr>
          <w:rFonts w:ascii="Times New Roman" w:eastAsia="Calibri" w:hAnsi="Times New Roman" w:cs="Times New Roman"/>
          <w:sz w:val="24"/>
          <w:szCs w:val="24"/>
        </w:rPr>
        <w:t>Biosystems</w:t>
      </w:r>
      <w:proofErr w:type="spellEnd"/>
      <w:r w:rsidRPr="008643D2">
        <w:rPr>
          <w:rFonts w:ascii="Times New Roman" w:eastAsia="Calibri" w:hAnsi="Times New Roman" w:cs="Times New Roman"/>
          <w:sz w:val="24"/>
          <w:szCs w:val="24"/>
        </w:rPr>
        <w:t>).  HSV [35], JC [37</w:t>
      </w:r>
      <w:proofErr w:type="gramStart"/>
      <w:r w:rsidRPr="008643D2">
        <w:rPr>
          <w:rFonts w:ascii="Times New Roman" w:eastAsia="Calibri" w:hAnsi="Times New Roman" w:cs="Times New Roman"/>
          <w:sz w:val="24"/>
          <w:szCs w:val="24"/>
        </w:rPr>
        <w:t>,38</w:t>
      </w:r>
      <w:proofErr w:type="gramEnd"/>
      <w:r w:rsidRPr="008643D2">
        <w:rPr>
          <w:rFonts w:ascii="Times New Roman" w:eastAsia="Calibri" w:hAnsi="Times New Roman" w:cs="Times New Roman"/>
          <w:sz w:val="24"/>
          <w:szCs w:val="24"/>
        </w:rPr>
        <w:t>], and BK [37,38]</w:t>
      </w:r>
      <w:r w:rsidRPr="008643D2">
        <w:rPr>
          <w:rFonts w:ascii="Times New Roman" w:eastAsia="Calibri" w:hAnsi="Times New Roman" w:cs="Times New Roman"/>
          <w:sz w:val="24"/>
          <w:szCs w:val="24"/>
          <w:vertAlign w:val="superscript"/>
        </w:rPr>
        <w:t xml:space="preserve"> </w:t>
      </w:r>
      <w:r w:rsidRPr="008643D2">
        <w:rPr>
          <w:rFonts w:ascii="Times New Roman" w:eastAsia="Calibri" w:hAnsi="Times New Roman" w:cs="Times New Roman"/>
          <w:sz w:val="24"/>
          <w:szCs w:val="24"/>
        </w:rPr>
        <w:t xml:space="preserve"> assays were performed on a </w:t>
      </w:r>
      <w:proofErr w:type="spellStart"/>
      <w:r w:rsidRPr="008643D2">
        <w:rPr>
          <w:rFonts w:ascii="Times New Roman" w:eastAsia="Calibri" w:hAnsi="Times New Roman" w:cs="Times New Roman"/>
          <w:sz w:val="24"/>
          <w:szCs w:val="24"/>
        </w:rPr>
        <w:t>LightCycler</w:t>
      </w:r>
      <w:proofErr w:type="spellEnd"/>
      <w:r w:rsidRPr="008643D2">
        <w:rPr>
          <w:rFonts w:ascii="Times New Roman" w:eastAsia="Calibri" w:hAnsi="Times New Roman" w:cs="Times New Roman"/>
          <w:sz w:val="24"/>
          <w:szCs w:val="24"/>
        </w:rPr>
        <w:t xml:space="preserve"> II (Roche).  All herpes virus and </w:t>
      </w:r>
      <w:proofErr w:type="spellStart"/>
      <w:r w:rsidRPr="008643D2">
        <w:rPr>
          <w:rFonts w:ascii="Times New Roman" w:eastAsia="Calibri" w:hAnsi="Times New Roman" w:cs="Times New Roman"/>
          <w:sz w:val="24"/>
          <w:szCs w:val="24"/>
        </w:rPr>
        <w:t>anellovirus</w:t>
      </w:r>
      <w:proofErr w:type="spellEnd"/>
      <w:r w:rsidRPr="008643D2">
        <w:rPr>
          <w:rFonts w:ascii="Times New Roman" w:eastAsia="Calibri" w:hAnsi="Times New Roman" w:cs="Times New Roman"/>
          <w:sz w:val="24"/>
          <w:szCs w:val="24"/>
        </w:rPr>
        <w:t xml:space="preserve"> assays were performed on whole blood and plasma extracts, and </w:t>
      </w:r>
      <w:proofErr w:type="spellStart"/>
      <w:r w:rsidRPr="008643D2">
        <w:rPr>
          <w:rFonts w:ascii="Times New Roman" w:eastAsia="Calibri" w:hAnsi="Times New Roman" w:cs="Times New Roman"/>
          <w:sz w:val="24"/>
          <w:szCs w:val="24"/>
        </w:rPr>
        <w:t>polyoma</w:t>
      </w:r>
      <w:proofErr w:type="spellEnd"/>
      <w:r w:rsidRPr="008643D2">
        <w:rPr>
          <w:rFonts w:ascii="Times New Roman" w:eastAsia="Calibri" w:hAnsi="Times New Roman" w:cs="Times New Roman"/>
          <w:sz w:val="24"/>
          <w:szCs w:val="24"/>
        </w:rPr>
        <w:t xml:space="preserve"> virus assays were performed only urine extracts.  Quantitated standards used were acquired from Advanced Biotechnologies Inc.  </w:t>
      </w:r>
      <w:r w:rsidRPr="008643D2">
        <w:rPr>
          <w:rFonts w:ascii="Times New Roman" w:eastAsia="Times New Roman" w:hAnsi="Times New Roman" w:cs="Times New Roman"/>
          <w:sz w:val="24"/>
          <w:szCs w:val="24"/>
        </w:rPr>
        <w:t xml:space="preserve">Primers and probes for ABI 7500 based assays were acquired from Applied </w:t>
      </w:r>
      <w:proofErr w:type="spellStart"/>
      <w:r w:rsidRPr="008643D2">
        <w:rPr>
          <w:rFonts w:ascii="Times New Roman" w:eastAsia="Times New Roman" w:hAnsi="Times New Roman" w:cs="Times New Roman"/>
          <w:sz w:val="24"/>
          <w:szCs w:val="24"/>
        </w:rPr>
        <w:t>Biosystems</w:t>
      </w:r>
      <w:proofErr w:type="spellEnd"/>
      <w:r w:rsidRPr="008643D2">
        <w:rPr>
          <w:rFonts w:ascii="Times New Roman" w:eastAsia="Times New Roman" w:hAnsi="Times New Roman" w:cs="Times New Roman"/>
          <w:sz w:val="24"/>
          <w:szCs w:val="24"/>
        </w:rPr>
        <w:t xml:space="preserve">, and primers and probes for </w:t>
      </w:r>
      <w:proofErr w:type="spellStart"/>
      <w:r w:rsidRPr="008643D2">
        <w:rPr>
          <w:rFonts w:ascii="Times New Roman" w:eastAsia="Times New Roman" w:hAnsi="Times New Roman" w:cs="Times New Roman"/>
          <w:sz w:val="24"/>
          <w:szCs w:val="24"/>
        </w:rPr>
        <w:t>LightCycler</w:t>
      </w:r>
      <w:proofErr w:type="spellEnd"/>
      <w:r w:rsidRPr="008643D2">
        <w:rPr>
          <w:rFonts w:ascii="Times New Roman" w:eastAsia="Times New Roman" w:hAnsi="Times New Roman" w:cs="Times New Roman"/>
          <w:sz w:val="24"/>
          <w:szCs w:val="24"/>
        </w:rPr>
        <w:t xml:space="preserve"> II based assays were acquired from TIB </w:t>
      </w:r>
      <w:proofErr w:type="spellStart"/>
      <w:r w:rsidRPr="008643D2">
        <w:rPr>
          <w:rFonts w:ascii="Times New Roman" w:eastAsia="Times New Roman" w:hAnsi="Times New Roman" w:cs="Times New Roman"/>
          <w:sz w:val="24"/>
          <w:szCs w:val="24"/>
        </w:rPr>
        <w:t>Molbiol</w:t>
      </w:r>
      <w:proofErr w:type="spellEnd"/>
      <w:r w:rsidRPr="008643D2">
        <w:rPr>
          <w:rFonts w:ascii="Times New Roman" w:eastAsia="Times New Roman" w:hAnsi="Times New Roman" w:cs="Times New Roman"/>
          <w:sz w:val="24"/>
          <w:szCs w:val="24"/>
        </w:rPr>
        <w:t xml:space="preserve">.  </w:t>
      </w:r>
      <w:r w:rsidRPr="008643D2">
        <w:rPr>
          <w:rFonts w:ascii="Times New Roman" w:eastAsia="Calibri" w:hAnsi="Times New Roman" w:cs="Times New Roman"/>
          <w:sz w:val="24"/>
          <w:szCs w:val="24"/>
        </w:rPr>
        <w:t xml:space="preserve">Results are presented as copy number per mL of original sample. </w:t>
      </w:r>
      <w:r w:rsidRPr="008643D2">
        <w:rPr>
          <w:rFonts w:ascii="Times New Roman" w:eastAsia="Times New Roman" w:hAnsi="Times New Roman" w:cs="Times New Roman"/>
          <w:sz w:val="24"/>
          <w:szCs w:val="24"/>
        </w:rPr>
        <w:t>5uL of extracted sample was used per reaction, making the theoretical lower limit of detection 200 copies/</w:t>
      </w:r>
      <w:proofErr w:type="spellStart"/>
      <w:r w:rsidRPr="008643D2">
        <w:rPr>
          <w:rFonts w:ascii="Times New Roman" w:eastAsia="Times New Roman" w:hAnsi="Times New Roman" w:cs="Times New Roman"/>
          <w:sz w:val="24"/>
          <w:szCs w:val="24"/>
        </w:rPr>
        <w:t>mL.</w:t>
      </w:r>
      <w:proofErr w:type="spellEnd"/>
      <w:r w:rsidRPr="008643D2">
        <w:rPr>
          <w:rFonts w:ascii="Times New Roman" w:eastAsia="Times New Roman" w:hAnsi="Times New Roman" w:cs="Times New Roman"/>
          <w:sz w:val="24"/>
          <w:szCs w:val="24"/>
        </w:rPr>
        <w:t xml:space="preserve"> Lower limits of quantitation</w:t>
      </w:r>
      <w:r w:rsidRPr="008643D2">
        <w:rPr>
          <w:rFonts w:ascii="Times New Roman" w:eastAsia="Times New Roman" w:hAnsi="Times New Roman" w:cs="Times New Roman"/>
          <w:color w:val="1F497D"/>
          <w:sz w:val="24"/>
          <w:szCs w:val="24"/>
        </w:rPr>
        <w:t xml:space="preserve"> </w:t>
      </w:r>
      <w:r w:rsidRPr="008643D2">
        <w:rPr>
          <w:rFonts w:ascii="Times New Roman" w:eastAsia="Times New Roman" w:hAnsi="Times New Roman" w:cs="Times New Roman"/>
          <w:sz w:val="24"/>
          <w:szCs w:val="24"/>
        </w:rPr>
        <w:t>(</w:t>
      </w:r>
      <w:proofErr w:type="spellStart"/>
      <w:r w:rsidRPr="008643D2">
        <w:rPr>
          <w:rFonts w:ascii="Times New Roman" w:eastAsia="Times New Roman" w:hAnsi="Times New Roman" w:cs="Times New Roman"/>
          <w:sz w:val="24"/>
          <w:szCs w:val="24"/>
        </w:rPr>
        <w:t>lloq</w:t>
      </w:r>
      <w:proofErr w:type="spellEnd"/>
      <w:r w:rsidRPr="008643D2">
        <w:rPr>
          <w:rFonts w:ascii="Times New Roman" w:eastAsia="Times New Roman" w:hAnsi="Times New Roman" w:cs="Times New Roman"/>
          <w:sz w:val="24"/>
          <w:szCs w:val="24"/>
        </w:rPr>
        <w:t xml:space="preserve">) for each assay are described in Table S1 with average </w:t>
      </w:r>
      <w:proofErr w:type="spellStart"/>
      <w:r w:rsidRPr="008643D2">
        <w:rPr>
          <w:rFonts w:ascii="Times New Roman" w:eastAsia="Times New Roman" w:hAnsi="Times New Roman" w:cs="Times New Roman"/>
          <w:sz w:val="24"/>
          <w:szCs w:val="24"/>
        </w:rPr>
        <w:t>interassay</w:t>
      </w:r>
      <w:proofErr w:type="spellEnd"/>
      <w:r w:rsidRPr="008643D2">
        <w:rPr>
          <w:rFonts w:ascii="Times New Roman" w:eastAsia="Times New Roman" w:hAnsi="Times New Roman" w:cs="Times New Roman"/>
          <w:sz w:val="24"/>
          <w:szCs w:val="24"/>
        </w:rPr>
        <w:t xml:space="preserve"> Coefficients of Variation of all points on the standard curve. Positive samples at or below </w:t>
      </w:r>
      <w:proofErr w:type="spellStart"/>
      <w:r w:rsidRPr="008643D2">
        <w:rPr>
          <w:rFonts w:ascii="Times New Roman" w:eastAsia="Times New Roman" w:hAnsi="Times New Roman" w:cs="Times New Roman"/>
          <w:sz w:val="24"/>
          <w:szCs w:val="24"/>
        </w:rPr>
        <w:t>lloq</w:t>
      </w:r>
      <w:proofErr w:type="spellEnd"/>
      <w:r w:rsidRPr="008643D2">
        <w:rPr>
          <w:rFonts w:ascii="Times New Roman" w:eastAsia="Times New Roman" w:hAnsi="Times New Roman" w:cs="Times New Roman"/>
          <w:sz w:val="24"/>
          <w:szCs w:val="24"/>
        </w:rPr>
        <w:t xml:space="preserve"> were assigned copy numbers equal to </w:t>
      </w:r>
      <w:proofErr w:type="spellStart"/>
      <w:r w:rsidRPr="008643D2">
        <w:rPr>
          <w:rFonts w:ascii="Times New Roman" w:eastAsia="Times New Roman" w:hAnsi="Times New Roman" w:cs="Times New Roman"/>
          <w:sz w:val="24"/>
          <w:szCs w:val="24"/>
        </w:rPr>
        <w:t>lloq</w:t>
      </w:r>
      <w:proofErr w:type="spellEnd"/>
      <w:r w:rsidRPr="008643D2">
        <w:rPr>
          <w:rFonts w:ascii="Times New Roman" w:eastAsia="Times New Roman" w:hAnsi="Times New Roman" w:cs="Times New Roman"/>
          <w:sz w:val="24"/>
          <w:szCs w:val="24"/>
        </w:rPr>
        <w:t xml:space="preserve">. </w:t>
      </w:r>
      <w:r w:rsidRPr="008643D2">
        <w:rPr>
          <w:rFonts w:ascii="Times New Roman" w:eastAsia="Calibri" w:hAnsi="Times New Roman" w:cs="Times New Roman"/>
          <w:sz w:val="24"/>
          <w:szCs w:val="24"/>
        </w:rPr>
        <w:t xml:space="preserve"> The HSV assay measures both type-1 and type-2, and further distinguishes between the two different viruses.  In the present work, the results presented for HSV represent either type-1 or -2.  All assays were run in triplicate and the results averaged. </w:t>
      </w:r>
    </w:p>
    <w:p w:rsidR="008643D2" w:rsidRPr="008643D2" w:rsidRDefault="008643D2" w:rsidP="008643D2">
      <w:pPr>
        <w:spacing w:line="360" w:lineRule="auto"/>
        <w:rPr>
          <w:rFonts w:ascii="Times New Roman" w:eastAsia="Calibri" w:hAnsi="Times New Roman" w:cs="Times New Roman"/>
          <w:sz w:val="24"/>
          <w:szCs w:val="24"/>
        </w:rPr>
      </w:pPr>
      <w:r w:rsidRPr="008643D2">
        <w:rPr>
          <w:rFonts w:ascii="Times New Roman" w:eastAsia="Calibri" w:hAnsi="Times New Roman" w:cs="Times New Roman"/>
          <w:i/>
          <w:sz w:val="24"/>
          <w:szCs w:val="24"/>
        </w:rPr>
        <w:t>HHV-6 Assay</w:t>
      </w:r>
      <w:r w:rsidRPr="008643D2">
        <w:rPr>
          <w:rFonts w:ascii="Times New Roman" w:eastAsia="Calibri" w:hAnsi="Times New Roman" w:cs="Times New Roman"/>
          <w:sz w:val="24"/>
          <w:szCs w:val="24"/>
        </w:rPr>
        <w:t xml:space="preserve">: The assay amplifies a 96-bp region of the conserved region of U67. The forward primer (HHV6F) was 5’TTT GCC AGT CAG ACA GTT </w:t>
      </w:r>
      <w:proofErr w:type="spellStart"/>
      <w:r w:rsidRPr="008643D2">
        <w:rPr>
          <w:rFonts w:ascii="Times New Roman" w:eastAsia="Calibri" w:hAnsi="Times New Roman" w:cs="Times New Roman"/>
          <w:sz w:val="24"/>
          <w:szCs w:val="24"/>
        </w:rPr>
        <w:t>GTT</w:t>
      </w:r>
      <w:proofErr w:type="spellEnd"/>
      <w:r w:rsidRPr="008643D2">
        <w:rPr>
          <w:rFonts w:ascii="Times New Roman" w:eastAsia="Calibri" w:hAnsi="Times New Roman" w:cs="Times New Roman"/>
          <w:sz w:val="24"/>
          <w:szCs w:val="24"/>
        </w:rPr>
        <w:t xml:space="preserve"> </w:t>
      </w:r>
      <w:proofErr w:type="gramStart"/>
      <w:r w:rsidRPr="008643D2">
        <w:rPr>
          <w:rFonts w:ascii="Times New Roman" w:eastAsia="Calibri" w:hAnsi="Times New Roman" w:cs="Times New Roman"/>
          <w:sz w:val="24"/>
          <w:szCs w:val="24"/>
        </w:rPr>
        <w:t>TC,</w:t>
      </w:r>
      <w:proofErr w:type="gramEnd"/>
      <w:r w:rsidRPr="008643D2">
        <w:rPr>
          <w:rFonts w:ascii="Times New Roman" w:eastAsia="Calibri" w:hAnsi="Times New Roman" w:cs="Times New Roman"/>
          <w:sz w:val="24"/>
          <w:szCs w:val="24"/>
        </w:rPr>
        <w:t xml:space="preserve"> and the reverse primer (HHV6R) was 5’ TGG CCG CAT TCG TAC AGA (200nM each).  Two probes were used, one for Type </w:t>
      </w:r>
      <w:proofErr w:type="gramStart"/>
      <w:r w:rsidRPr="008643D2">
        <w:rPr>
          <w:rFonts w:ascii="Times New Roman" w:eastAsia="Calibri" w:hAnsi="Times New Roman" w:cs="Times New Roman"/>
          <w:sz w:val="24"/>
          <w:szCs w:val="24"/>
        </w:rPr>
        <w:t>A</w:t>
      </w:r>
      <w:proofErr w:type="gramEnd"/>
      <w:r w:rsidRPr="008643D2">
        <w:rPr>
          <w:rFonts w:ascii="Times New Roman" w:eastAsia="Calibri" w:hAnsi="Times New Roman" w:cs="Times New Roman"/>
          <w:sz w:val="24"/>
          <w:szCs w:val="24"/>
        </w:rPr>
        <w:t xml:space="preserve"> (HHV6A) 5’ 6FAM-TAT AAT GCC GCG TTT CCA AAT CTA TTG CCT C-TAMRA (150 </w:t>
      </w:r>
      <w:proofErr w:type="spellStart"/>
      <w:r w:rsidRPr="008643D2">
        <w:rPr>
          <w:rFonts w:ascii="Times New Roman" w:eastAsia="Calibri" w:hAnsi="Times New Roman" w:cs="Times New Roman"/>
          <w:sz w:val="24"/>
          <w:szCs w:val="24"/>
        </w:rPr>
        <w:t>nM</w:t>
      </w:r>
      <w:proofErr w:type="spellEnd"/>
      <w:r w:rsidRPr="008643D2">
        <w:rPr>
          <w:rFonts w:ascii="Times New Roman" w:eastAsia="Calibri" w:hAnsi="Times New Roman" w:cs="Times New Roman"/>
          <w:sz w:val="24"/>
          <w:szCs w:val="24"/>
        </w:rPr>
        <w:t xml:space="preserve">), and one for Type B (HHV6B) 5’ 6FAM-TAT AAT GCC GCA TTT CCG AAT CTA TTG CCT C-TAMRA (60 </w:t>
      </w:r>
      <w:proofErr w:type="spellStart"/>
      <w:r w:rsidRPr="008643D2">
        <w:rPr>
          <w:rFonts w:ascii="Times New Roman" w:eastAsia="Calibri" w:hAnsi="Times New Roman" w:cs="Times New Roman"/>
          <w:sz w:val="24"/>
          <w:szCs w:val="24"/>
        </w:rPr>
        <w:t>nM</w:t>
      </w:r>
      <w:proofErr w:type="spellEnd"/>
      <w:r w:rsidRPr="008643D2">
        <w:rPr>
          <w:rFonts w:ascii="Times New Roman" w:eastAsia="Calibri" w:hAnsi="Times New Roman" w:cs="Times New Roman"/>
          <w:sz w:val="24"/>
          <w:szCs w:val="24"/>
        </w:rPr>
        <w:t xml:space="preserve">). Standard ABI 7500 cycling protocol was used (2’ @ 50° C, 10’ @ 95° C, 45 cycles of 15” @ 95° C and 1’ @ 60° C).  Subsequent analysis of positives allowed for distinguishing between Type A and B, though results here represent either A or B. </w:t>
      </w:r>
    </w:p>
    <w:p w:rsidR="008643D2" w:rsidRPr="008643D2" w:rsidRDefault="008643D2" w:rsidP="008643D2">
      <w:pPr>
        <w:spacing w:line="360" w:lineRule="auto"/>
        <w:rPr>
          <w:rFonts w:ascii="Times New Roman" w:eastAsia="Times New Roman" w:hAnsi="Times New Roman" w:cs="Times New Roman"/>
          <w:sz w:val="24"/>
          <w:szCs w:val="24"/>
        </w:rPr>
      </w:pPr>
      <w:r w:rsidRPr="008643D2">
        <w:rPr>
          <w:rFonts w:ascii="Times New Roman" w:eastAsia="Times New Roman" w:hAnsi="Times New Roman" w:cs="Times New Roman"/>
          <w:i/>
          <w:sz w:val="24"/>
          <w:szCs w:val="24"/>
        </w:rPr>
        <w:t>TTV viral testing</w:t>
      </w:r>
      <w:r w:rsidRPr="008643D2">
        <w:rPr>
          <w:rFonts w:ascii="Times New Roman" w:eastAsia="Times New Roman" w:hAnsi="Times New Roman" w:cs="Times New Roman"/>
          <w:sz w:val="24"/>
          <w:szCs w:val="24"/>
        </w:rPr>
        <w:t xml:space="preserve">: Preliminary studies testing TTV standards in whole blood extracts demonstrated that the assay was reproducible but the maximum value was lower than expected, consistent with </w:t>
      </w:r>
      <w:proofErr w:type="gramStart"/>
      <w:r w:rsidRPr="008643D2">
        <w:rPr>
          <w:rFonts w:ascii="Times New Roman" w:eastAsia="Times New Roman" w:hAnsi="Times New Roman" w:cs="Times New Roman"/>
          <w:sz w:val="24"/>
          <w:szCs w:val="24"/>
        </w:rPr>
        <w:t>an interference</w:t>
      </w:r>
      <w:proofErr w:type="gramEnd"/>
      <w:r w:rsidRPr="008643D2">
        <w:rPr>
          <w:rFonts w:ascii="Times New Roman" w:eastAsia="Times New Roman" w:hAnsi="Times New Roman" w:cs="Times New Roman"/>
          <w:sz w:val="24"/>
          <w:szCs w:val="24"/>
        </w:rPr>
        <w:t xml:space="preserve"> by blood elements.  Despite this effect, the assay was reproducible and whole blood TTV values tended to track the TTV values in plasma.  Therefore, we believe that the TTV values from whole blood served as useful trends for TTV in patient blood samples.  However, the values determined in whole blood likely underestimate the extent of the viral load.  Therefore, we elected to only report TTV viral load in plasma although the values for TTV in whole blood are provided in Table 4.   </w:t>
      </w:r>
    </w:p>
    <w:p w:rsidR="008643D2" w:rsidRPr="008643D2" w:rsidRDefault="008643D2" w:rsidP="008643D2">
      <w:pPr>
        <w:spacing w:line="360" w:lineRule="auto"/>
        <w:rPr>
          <w:rFonts w:ascii="Times New Roman" w:eastAsia="Times New Roman" w:hAnsi="Times New Roman" w:cs="Times New Roman"/>
          <w:color w:val="000000"/>
          <w:sz w:val="24"/>
          <w:szCs w:val="24"/>
        </w:rPr>
      </w:pPr>
      <w:r w:rsidRPr="008643D2">
        <w:rPr>
          <w:rFonts w:ascii="Times New Roman" w:eastAsia="Times New Roman" w:hAnsi="Times New Roman" w:cs="Times New Roman"/>
          <w:i/>
          <w:sz w:val="24"/>
          <w:szCs w:val="24"/>
        </w:rPr>
        <w:lastRenderedPageBreak/>
        <w:t>CMV serologic testing</w:t>
      </w:r>
      <w:r w:rsidRPr="008643D2">
        <w:rPr>
          <w:rFonts w:ascii="Times New Roman" w:eastAsia="Times New Roman" w:hAnsi="Times New Roman" w:cs="Times New Roman"/>
          <w:sz w:val="24"/>
          <w:szCs w:val="24"/>
        </w:rPr>
        <w:t xml:space="preserve">: Serologic testing was performed on the first blood sample available after ICU admission.  </w:t>
      </w:r>
      <w:r w:rsidRPr="008643D2">
        <w:rPr>
          <w:rFonts w:ascii="Times New Roman" w:eastAsia="Times New Roman" w:hAnsi="Times New Roman" w:cs="Times New Roman"/>
          <w:color w:val="000000"/>
          <w:sz w:val="24"/>
          <w:szCs w:val="24"/>
        </w:rPr>
        <w:t xml:space="preserve">Serologic testing for </w:t>
      </w:r>
      <w:proofErr w:type="spellStart"/>
      <w:r w:rsidRPr="008643D2">
        <w:rPr>
          <w:rFonts w:ascii="Times New Roman" w:eastAsia="Times New Roman" w:hAnsi="Times New Roman" w:cs="Times New Roman"/>
          <w:color w:val="000000"/>
          <w:sz w:val="24"/>
          <w:szCs w:val="24"/>
        </w:rPr>
        <w:t>IgG</w:t>
      </w:r>
      <w:proofErr w:type="spellEnd"/>
      <w:r w:rsidRPr="008643D2">
        <w:rPr>
          <w:rFonts w:ascii="Times New Roman" w:eastAsia="Times New Roman" w:hAnsi="Times New Roman" w:cs="Times New Roman"/>
          <w:color w:val="000000"/>
          <w:sz w:val="24"/>
          <w:szCs w:val="24"/>
        </w:rPr>
        <w:t xml:space="preserve"> antibody to CMV was determined by ELISA technique using kit purchased from Diagnostic Automation/Cortez </w:t>
      </w:r>
      <w:proofErr w:type="spellStart"/>
      <w:r w:rsidRPr="008643D2">
        <w:rPr>
          <w:rFonts w:ascii="Times New Roman" w:eastAsia="Times New Roman" w:hAnsi="Times New Roman" w:cs="Times New Roman"/>
          <w:color w:val="000000"/>
          <w:sz w:val="24"/>
          <w:szCs w:val="24"/>
        </w:rPr>
        <w:t>Diagnoistics</w:t>
      </w:r>
      <w:proofErr w:type="spellEnd"/>
      <w:r w:rsidRPr="008643D2">
        <w:rPr>
          <w:rFonts w:ascii="Times New Roman" w:eastAsia="Times New Roman" w:hAnsi="Times New Roman" w:cs="Times New Roman"/>
          <w:color w:val="000000"/>
          <w:sz w:val="24"/>
          <w:szCs w:val="24"/>
        </w:rPr>
        <w:t>, Inc., Calabasas, CA.  10 microliter serum samples were diluted with 200 microliter sample diluent (supplied in kit).  100 microliters of diluted samples were pipetted into wells of pre-coated plate (supplied in kit).  ELISA procedure followed according to kit instructions.</w:t>
      </w:r>
    </w:p>
    <w:p w:rsidR="008643D2" w:rsidRPr="008643D2" w:rsidRDefault="008643D2" w:rsidP="008643D2">
      <w:pPr>
        <w:spacing w:line="360" w:lineRule="auto"/>
        <w:rPr>
          <w:rFonts w:ascii="Times New Roman" w:eastAsia="Times New Roman" w:hAnsi="Times New Roman" w:cs="Times New Roman"/>
          <w:sz w:val="24"/>
          <w:szCs w:val="24"/>
        </w:rPr>
      </w:pPr>
    </w:p>
    <w:p w:rsidR="008643D2" w:rsidRPr="008643D2" w:rsidRDefault="008643D2" w:rsidP="008643D2">
      <w:pPr>
        <w:spacing w:after="0" w:line="360" w:lineRule="auto"/>
        <w:rPr>
          <w:rFonts w:ascii="Times New Roman" w:eastAsia="Times New Roman" w:hAnsi="Times New Roman" w:cs="Times New Roman"/>
          <w:sz w:val="24"/>
          <w:szCs w:val="24"/>
        </w:rPr>
      </w:pPr>
      <w:r w:rsidRPr="008643D2">
        <w:rPr>
          <w:rFonts w:ascii="Times New Roman" w:eastAsia="Times New Roman" w:hAnsi="Times New Roman" w:cs="Times New Roman"/>
          <w:i/>
          <w:sz w:val="24"/>
          <w:szCs w:val="24"/>
        </w:rPr>
        <w:t>Diagnosis of secondary infections</w:t>
      </w:r>
      <w:r w:rsidRPr="008643D2">
        <w:rPr>
          <w:rFonts w:ascii="Times New Roman" w:eastAsia="Times New Roman" w:hAnsi="Times New Roman" w:cs="Times New Roman"/>
          <w:sz w:val="24"/>
          <w:szCs w:val="24"/>
        </w:rPr>
        <w:t xml:space="preserve">:  Given their low virulence and the fact that these organisms rarely infect individuals with normal immune systems, </w:t>
      </w:r>
      <w:proofErr w:type="spellStart"/>
      <w:r w:rsidRPr="008643D2">
        <w:rPr>
          <w:rFonts w:ascii="Times New Roman" w:eastAsia="Times New Roman" w:hAnsi="Times New Roman" w:cs="Times New Roman"/>
          <w:i/>
          <w:sz w:val="24"/>
          <w:szCs w:val="24"/>
        </w:rPr>
        <w:t>Acinetobacter</w:t>
      </w:r>
      <w:proofErr w:type="spellEnd"/>
      <w:r w:rsidRPr="008643D2">
        <w:rPr>
          <w:rFonts w:ascii="Times New Roman" w:eastAsia="Times New Roman" w:hAnsi="Times New Roman" w:cs="Times New Roman"/>
          <w:sz w:val="24"/>
          <w:szCs w:val="24"/>
        </w:rPr>
        <w:t xml:space="preserve">, </w:t>
      </w:r>
      <w:proofErr w:type="spellStart"/>
      <w:r w:rsidRPr="008643D2">
        <w:rPr>
          <w:rFonts w:ascii="Times New Roman" w:eastAsia="Times New Roman" w:hAnsi="Times New Roman" w:cs="Times New Roman"/>
          <w:i/>
          <w:sz w:val="24"/>
          <w:szCs w:val="24"/>
        </w:rPr>
        <w:t>Stenotrophomonas</w:t>
      </w:r>
      <w:proofErr w:type="spellEnd"/>
      <w:r w:rsidRPr="008643D2">
        <w:rPr>
          <w:rFonts w:ascii="Times New Roman" w:eastAsia="Times New Roman" w:hAnsi="Times New Roman" w:cs="Times New Roman"/>
          <w:sz w:val="24"/>
          <w:szCs w:val="24"/>
        </w:rPr>
        <w:t xml:space="preserve">, and </w:t>
      </w:r>
      <w:r w:rsidRPr="008643D2">
        <w:rPr>
          <w:rFonts w:ascii="Times New Roman" w:eastAsia="Times New Roman" w:hAnsi="Times New Roman" w:cs="Times New Roman"/>
          <w:i/>
          <w:sz w:val="24"/>
          <w:szCs w:val="24"/>
        </w:rPr>
        <w:t>Enterococcus</w:t>
      </w:r>
      <w:r w:rsidRPr="008643D2">
        <w:rPr>
          <w:rFonts w:ascii="Times New Roman" w:eastAsia="Times New Roman" w:hAnsi="Times New Roman" w:cs="Times New Roman"/>
          <w:sz w:val="24"/>
          <w:szCs w:val="24"/>
        </w:rPr>
        <w:t xml:space="preserve"> were considered to be opportunistic pathogens [39].  The CDC </w:t>
      </w:r>
      <w:proofErr w:type="gramStart"/>
      <w:r w:rsidRPr="008643D2">
        <w:rPr>
          <w:rFonts w:ascii="Times New Roman" w:eastAsia="Times New Roman" w:hAnsi="Times New Roman" w:cs="Times New Roman"/>
          <w:sz w:val="24"/>
          <w:szCs w:val="24"/>
        </w:rPr>
        <w:t>criteria for hospital acquired infections (</w:t>
      </w:r>
      <w:hyperlink r:id="rId5" w:history="1">
        <w:r w:rsidRPr="008643D2">
          <w:rPr>
            <w:rFonts w:ascii="Times New Roman" w:eastAsia="Times New Roman" w:hAnsi="Times New Roman" w:cs="Times New Roman"/>
            <w:color w:val="0000FF"/>
            <w:sz w:val="24"/>
            <w:szCs w:val="24"/>
            <w:u w:val="single"/>
          </w:rPr>
          <w:t>www.cdc.gov/hai/</w:t>
        </w:r>
      </w:hyperlink>
      <w:r w:rsidRPr="008643D2">
        <w:rPr>
          <w:rFonts w:ascii="Times New Roman" w:eastAsia="Times New Roman" w:hAnsi="Times New Roman" w:cs="Times New Roman"/>
          <w:sz w:val="24"/>
          <w:szCs w:val="24"/>
        </w:rPr>
        <w:t>) was</w:t>
      </w:r>
      <w:proofErr w:type="gramEnd"/>
      <w:r w:rsidRPr="008643D2">
        <w:rPr>
          <w:rFonts w:ascii="Times New Roman" w:eastAsia="Times New Roman" w:hAnsi="Times New Roman" w:cs="Times New Roman"/>
          <w:sz w:val="24"/>
          <w:szCs w:val="24"/>
        </w:rPr>
        <w:t xml:space="preserve"> used for diagnosis of infections.  Isolation of these bacteria from blood, respiratory secretions obtained by </w:t>
      </w:r>
      <w:proofErr w:type="spellStart"/>
      <w:r w:rsidRPr="008643D2">
        <w:rPr>
          <w:rFonts w:ascii="Times New Roman" w:eastAsia="Times New Roman" w:hAnsi="Times New Roman" w:cs="Times New Roman"/>
          <w:sz w:val="24"/>
          <w:szCs w:val="24"/>
        </w:rPr>
        <w:t>bronchoalveolar</w:t>
      </w:r>
      <w:proofErr w:type="spellEnd"/>
      <w:r w:rsidRPr="008643D2">
        <w:rPr>
          <w:rFonts w:ascii="Times New Roman" w:eastAsia="Times New Roman" w:hAnsi="Times New Roman" w:cs="Times New Roman"/>
          <w:sz w:val="24"/>
          <w:szCs w:val="24"/>
        </w:rPr>
        <w:t xml:space="preserve"> lavage or deep tracheal suctioning from patients with a diagnosis of new onset ventilator associated pneumonia, newly placed abdominal drains in areas of suspected abscess, cultures of pancreatic tissue or peritoneal fluid, urine from patients with confirmed or suspected new onset urinary tract infection (for </w:t>
      </w:r>
      <w:r w:rsidRPr="008643D2">
        <w:rPr>
          <w:rFonts w:ascii="Times New Roman" w:eastAsia="Times New Roman" w:hAnsi="Times New Roman" w:cs="Times New Roman"/>
          <w:i/>
          <w:sz w:val="24"/>
          <w:szCs w:val="24"/>
        </w:rPr>
        <w:t>Enterococcus</w:t>
      </w:r>
      <w:r w:rsidRPr="008643D2">
        <w:rPr>
          <w:rFonts w:ascii="Times New Roman" w:eastAsia="Times New Roman" w:hAnsi="Times New Roman" w:cs="Times New Roman"/>
          <w:sz w:val="24"/>
          <w:szCs w:val="24"/>
        </w:rPr>
        <w:t xml:space="preserve"> only), or surgical tissue biopsy, the diagnosis were considered positive for active infection.  We did not make a diagnosis of opportunistic infection if the organisms were obtained from respiratory secretions but the patient did not have new onset ventilator associated pneumonia. Ventilator associated pneumonia was diagnosed as per </w:t>
      </w:r>
      <w:proofErr w:type="spellStart"/>
      <w:r w:rsidRPr="008643D2">
        <w:rPr>
          <w:rFonts w:ascii="Times New Roman" w:eastAsia="Times New Roman" w:hAnsi="Times New Roman" w:cs="Times New Roman"/>
          <w:sz w:val="24"/>
          <w:szCs w:val="24"/>
        </w:rPr>
        <w:t>Skrupky</w:t>
      </w:r>
      <w:proofErr w:type="spellEnd"/>
      <w:r w:rsidRPr="008643D2">
        <w:rPr>
          <w:rFonts w:ascii="Times New Roman" w:eastAsia="Times New Roman" w:hAnsi="Times New Roman" w:cs="Times New Roman"/>
          <w:sz w:val="24"/>
          <w:szCs w:val="24"/>
        </w:rPr>
        <w:t xml:space="preserve"> et al </w:t>
      </w:r>
      <w:r w:rsidRPr="008643D2">
        <w:rPr>
          <w:rFonts w:ascii="Times New Roman" w:eastAsia="Times New Roman" w:hAnsi="Times New Roman" w:cs="Times New Roman"/>
          <w:i/>
          <w:sz w:val="24"/>
          <w:szCs w:val="24"/>
        </w:rPr>
        <w:t>Critical Care Med. 40:281-4; 2012</w:t>
      </w:r>
      <w:r w:rsidRPr="008643D2">
        <w:rPr>
          <w:rFonts w:ascii="Times New Roman" w:eastAsia="Times New Roman" w:hAnsi="Times New Roman" w:cs="Times New Roman"/>
          <w:sz w:val="24"/>
          <w:szCs w:val="24"/>
        </w:rPr>
        <w:t xml:space="preserve">.   In the case of </w:t>
      </w:r>
      <w:r w:rsidRPr="008643D2">
        <w:rPr>
          <w:rFonts w:ascii="Times New Roman" w:eastAsia="Times New Roman" w:hAnsi="Times New Roman" w:cs="Times New Roman"/>
          <w:i/>
          <w:sz w:val="24"/>
          <w:szCs w:val="24"/>
        </w:rPr>
        <w:t>Enterococcus</w:t>
      </w:r>
      <w:r w:rsidRPr="008643D2">
        <w:rPr>
          <w:rFonts w:ascii="Times New Roman" w:eastAsia="Times New Roman" w:hAnsi="Times New Roman" w:cs="Times New Roman"/>
          <w:sz w:val="24"/>
          <w:szCs w:val="24"/>
        </w:rPr>
        <w:t xml:space="preserve">, we did not make a diagnosis of opportunistic infection in patients who had enterococcus isolated from stool.  We also did not make a diagnosis of opportunistic infection in patients with </w:t>
      </w:r>
      <w:r w:rsidRPr="008643D2">
        <w:rPr>
          <w:rFonts w:ascii="Times New Roman" w:eastAsia="Times New Roman" w:hAnsi="Times New Roman" w:cs="Times New Roman"/>
          <w:i/>
          <w:sz w:val="24"/>
          <w:szCs w:val="24"/>
        </w:rPr>
        <w:t>Enterococcus</w:t>
      </w:r>
      <w:r w:rsidRPr="008643D2">
        <w:rPr>
          <w:rFonts w:ascii="Times New Roman" w:eastAsia="Times New Roman" w:hAnsi="Times New Roman" w:cs="Times New Roman"/>
          <w:sz w:val="24"/>
          <w:szCs w:val="24"/>
        </w:rPr>
        <w:t xml:space="preserve"> in urine in the absence of evidence of new onset urinary tract infection.  A diagnosis of fungal infections was made in patients whose blood, tissue, or newly placed abdominal drain cultures were positive for fungal organisms.  Patients who had fungal organisms cultured from respiratory secretions or urine were not considered to be infected but rather colonized.  The grading of whether patients had opportunistic or fungal infections was done by an investigator who was blinded to the viral status of the patient.  Some septic patients were transferred from outside hospitals to Barnes Jewish Hospital.  The records from the outside hospital were reviewed and the duration of sepsis was determined based upon review of these records including the outside physician’s diagnosis of sepsis.  In those cases in which the duration of sepsis was not clearly indicated in the outside hospital records, the patient’s onset of sepsis was classified as beginning on the day of admission to the Barnes Jewish Hospital ICU. </w:t>
      </w:r>
    </w:p>
    <w:p w:rsidR="008643D2" w:rsidRPr="008643D2" w:rsidRDefault="008643D2" w:rsidP="008643D2">
      <w:pPr>
        <w:spacing w:line="360" w:lineRule="auto"/>
        <w:rPr>
          <w:rFonts w:ascii="Times New Roman" w:eastAsia="Times New Roman" w:hAnsi="Times New Roman" w:cs="Times New Roman"/>
          <w:sz w:val="24"/>
          <w:szCs w:val="24"/>
        </w:rPr>
      </w:pPr>
    </w:p>
    <w:p w:rsidR="008643D2" w:rsidRPr="008643D2" w:rsidRDefault="008643D2" w:rsidP="008643D2">
      <w:pPr>
        <w:spacing w:line="360" w:lineRule="auto"/>
        <w:rPr>
          <w:rFonts w:ascii="Times New Roman" w:eastAsia="Times New Roman" w:hAnsi="Times New Roman" w:cs="Times New Roman"/>
          <w:sz w:val="24"/>
          <w:szCs w:val="24"/>
        </w:rPr>
      </w:pPr>
      <w:r w:rsidRPr="008643D2">
        <w:rPr>
          <w:rFonts w:ascii="Times New Roman" w:eastAsia="Times New Roman" w:hAnsi="Times New Roman" w:cs="Times New Roman"/>
          <w:i/>
          <w:sz w:val="24"/>
          <w:szCs w:val="24"/>
        </w:rPr>
        <w:t>Statistical analysis</w:t>
      </w:r>
      <w:r w:rsidRPr="008643D2">
        <w:rPr>
          <w:rFonts w:ascii="Times New Roman" w:eastAsia="Times New Roman" w:hAnsi="Times New Roman" w:cs="Times New Roman"/>
          <w:sz w:val="24"/>
          <w:szCs w:val="24"/>
        </w:rPr>
        <w:t xml:space="preserve">: Statistical analyses were performed in the Dept. of Medicine’s </w:t>
      </w:r>
      <w:proofErr w:type="spellStart"/>
      <w:r w:rsidRPr="008643D2">
        <w:rPr>
          <w:rFonts w:ascii="Times New Roman" w:eastAsia="Times New Roman" w:hAnsi="Times New Roman" w:cs="Times New Roman"/>
          <w:sz w:val="24"/>
          <w:szCs w:val="24"/>
        </w:rPr>
        <w:t>Biostatistical</w:t>
      </w:r>
      <w:proofErr w:type="spellEnd"/>
      <w:r w:rsidRPr="008643D2">
        <w:rPr>
          <w:rFonts w:ascii="Times New Roman" w:eastAsia="Times New Roman" w:hAnsi="Times New Roman" w:cs="Times New Roman"/>
          <w:sz w:val="24"/>
          <w:szCs w:val="24"/>
        </w:rPr>
        <w:t xml:space="preserve"> Consulting Center using SAS Statistical Software Version 9.3. Kaplan-Meier survival analyses were used to test differences </w:t>
      </w:r>
      <w:r w:rsidRPr="008643D2">
        <w:rPr>
          <w:rFonts w:ascii="Times New Roman" w:eastAsia="Times New Roman" w:hAnsi="Times New Roman" w:cs="Times New Roman"/>
          <w:sz w:val="24"/>
          <w:szCs w:val="24"/>
        </w:rPr>
        <w:lastRenderedPageBreak/>
        <w:t xml:space="preserve">in mortality, ICU length of stay, and secondary infection rates. Chi-square and t-tests were used for categorical and continuous variables. </w:t>
      </w:r>
    </w:p>
    <w:p w:rsidR="008643D2" w:rsidRPr="008643D2" w:rsidRDefault="008643D2" w:rsidP="008643D2">
      <w:pPr>
        <w:spacing w:after="0" w:line="360" w:lineRule="auto"/>
        <w:rPr>
          <w:rFonts w:ascii="Times New Roman" w:eastAsia="Times New Roman" w:hAnsi="Times New Roman" w:cs="Times New Roman"/>
          <w:sz w:val="24"/>
          <w:szCs w:val="24"/>
        </w:rPr>
      </w:pPr>
      <w:r w:rsidRPr="008643D2">
        <w:rPr>
          <w:rFonts w:ascii="Times New Roman" w:eastAsia="Times New Roman" w:hAnsi="Times New Roman" w:cs="Times New Roman"/>
          <w:i/>
          <w:sz w:val="24"/>
          <w:szCs w:val="24"/>
        </w:rPr>
        <w:t>Human Studies Human Studies:</w:t>
      </w:r>
      <w:r w:rsidRPr="008643D2">
        <w:rPr>
          <w:rFonts w:ascii="Times New Roman" w:eastAsia="Times New Roman" w:hAnsi="Times New Roman" w:cs="Times New Roman"/>
          <w:sz w:val="24"/>
          <w:szCs w:val="24"/>
        </w:rPr>
        <w:t xml:space="preserve"> The study was approved by the Washington University Human Research Protection Office.  Patient consent was obtained for venipuncture and chart review from pre-operative elective surgery patients.  Oral consent was documented by having the patient sign the study consent form which was then placed in the patient chart with an additional copy kept with the research nurse coordinator.  For septic and critically-ill non-septic patients, a waiver of consent was granted for obtaining excess clinical “waste” laboratory blood (that was slated to be discarded) and for review of their relevant hospital records because these procedures were considered to represent minimum risk to the patients. </w:t>
      </w:r>
    </w:p>
    <w:p w:rsidR="008643D2" w:rsidRPr="008643D2" w:rsidRDefault="008643D2" w:rsidP="008643D2">
      <w:pPr>
        <w:rPr>
          <w:rFonts w:ascii="Times New Roman" w:eastAsia="Times New Roman" w:hAnsi="Times New Roman" w:cs="Times New Roman"/>
          <w:sz w:val="24"/>
          <w:szCs w:val="24"/>
        </w:rPr>
      </w:pPr>
    </w:p>
    <w:p w:rsidR="003872AE" w:rsidRDefault="003872AE"/>
    <w:sectPr w:rsidR="003872AE" w:rsidSect="00F10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D2"/>
    <w:rsid w:val="003872AE"/>
    <w:rsid w:val="006E2CD8"/>
    <w:rsid w:val="0086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h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Andrew</dc:creator>
  <cp:lastModifiedBy>Walton, Andrew</cp:lastModifiedBy>
  <cp:revision>2</cp:revision>
  <dcterms:created xsi:type="dcterms:W3CDTF">2014-05-12T19:29:00Z</dcterms:created>
  <dcterms:modified xsi:type="dcterms:W3CDTF">2014-05-12T19:29:00Z</dcterms:modified>
</cp:coreProperties>
</file>