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AE" w:rsidRDefault="009335AE">
      <w:r>
        <w:t>Supporting information</w:t>
      </w:r>
    </w:p>
    <w:tbl>
      <w:tblPr>
        <w:tblStyle w:val="TableGrid"/>
        <w:tblpPr w:leftFromText="141" w:rightFromText="141" w:vertAnchor="page" w:horzAnchor="margin" w:tblpY="2521"/>
        <w:tblW w:w="11257" w:type="dxa"/>
        <w:tblLook w:val="01A0" w:firstRow="1" w:lastRow="0" w:firstColumn="1" w:lastColumn="1" w:noHBand="0" w:noVBand="0"/>
      </w:tblPr>
      <w:tblGrid>
        <w:gridCol w:w="4179"/>
        <w:gridCol w:w="1435"/>
        <w:gridCol w:w="1451"/>
        <w:gridCol w:w="2718"/>
        <w:gridCol w:w="1474"/>
      </w:tblGrid>
      <w:tr w:rsidR="009335AE" w:rsidRPr="009D07FB" w:rsidTr="00313756">
        <w:trPr>
          <w:trHeight w:val="1116"/>
        </w:trPr>
        <w:tc>
          <w:tcPr>
            <w:tcW w:w="4179" w:type="dxa"/>
          </w:tcPr>
          <w:p w:rsidR="009335AE" w:rsidRPr="00313756" w:rsidRDefault="009335AE" w:rsidP="009335AE">
            <w:pPr>
              <w:rPr>
                <w:rFonts w:eastAsia="MS ??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13756">
              <w:rPr>
                <w:rFonts w:eastAsia="MS ??" w:cs="Calibri"/>
                <w:b/>
                <w:bCs/>
                <w:iCs/>
                <w:color w:val="000000" w:themeColor="text1"/>
              </w:rPr>
              <w:t>Characteristic</w:t>
            </w:r>
          </w:p>
          <w:p w:rsidR="009335AE" w:rsidRPr="00313756" w:rsidRDefault="009335AE" w:rsidP="009335AE">
            <w:pPr>
              <w:jc w:val="center"/>
              <w:rPr>
                <w:rFonts w:eastAsia="MS ??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</w:tcPr>
          <w:p w:rsidR="009335AE" w:rsidRPr="00313756" w:rsidRDefault="009335AE" w:rsidP="009335AE">
            <w:pPr>
              <w:rPr>
                <w:rFonts w:eastAsia="MS ??" w:cs="Calibri"/>
                <w:b/>
                <w:bCs/>
                <w:iCs/>
                <w:color w:val="000000" w:themeColor="text1"/>
              </w:rPr>
            </w:pPr>
            <w:r w:rsidRPr="00313756">
              <w:rPr>
                <w:rFonts w:eastAsia="MS ??" w:cs="Calibri"/>
                <w:b/>
                <w:bCs/>
                <w:iCs/>
                <w:color w:val="000000" w:themeColor="text1"/>
              </w:rPr>
              <w:t xml:space="preserve">UNLOCK studies </w:t>
            </w:r>
          </w:p>
        </w:tc>
        <w:tc>
          <w:tcPr>
            <w:tcW w:w="1451" w:type="dxa"/>
          </w:tcPr>
          <w:p w:rsidR="009335AE" w:rsidRPr="00313756" w:rsidRDefault="009335AE" w:rsidP="009335AE">
            <w:pPr>
              <w:rPr>
                <w:rFonts w:eastAsia="MS ??" w:cs="Calibri"/>
                <w:b/>
                <w:bCs/>
                <w:iCs/>
                <w:color w:val="000000" w:themeColor="text1"/>
              </w:rPr>
            </w:pPr>
            <w:r w:rsidRPr="00313756">
              <w:rPr>
                <w:rFonts w:eastAsia="MS ??" w:cs="Calibri"/>
                <w:b/>
                <w:bCs/>
                <w:iCs/>
                <w:color w:val="000000" w:themeColor="text1"/>
              </w:rPr>
              <w:t>Large COPD studies (LPCS)</w:t>
            </w:r>
          </w:p>
        </w:tc>
        <w:tc>
          <w:tcPr>
            <w:tcW w:w="2718" w:type="dxa"/>
          </w:tcPr>
          <w:p w:rsidR="009335AE" w:rsidRPr="00313756" w:rsidRDefault="009335AE" w:rsidP="009335AE">
            <w:pPr>
              <w:rPr>
                <w:rFonts w:eastAsia="MS ??" w:cs="Calibri"/>
                <w:b/>
                <w:bCs/>
                <w:iCs/>
                <w:color w:val="000000" w:themeColor="text1"/>
              </w:rPr>
            </w:pPr>
            <w:r w:rsidRPr="00313756">
              <w:rPr>
                <w:rFonts w:eastAsia="MS ??" w:cs="Calibri"/>
                <w:b/>
                <w:bCs/>
                <w:iCs/>
                <w:color w:val="000000" w:themeColor="text1"/>
              </w:rPr>
              <w:t xml:space="preserve">Mean difference between </w:t>
            </w:r>
          </w:p>
          <w:p w:rsidR="009335AE" w:rsidRPr="00313756" w:rsidRDefault="009335AE" w:rsidP="009335AE">
            <w:pPr>
              <w:rPr>
                <w:rFonts w:eastAsia="MS ??" w:cs="Calibri"/>
                <w:b/>
                <w:bCs/>
                <w:iCs/>
                <w:color w:val="000000" w:themeColor="text1"/>
              </w:rPr>
            </w:pPr>
            <w:r w:rsidRPr="00313756">
              <w:rPr>
                <w:rFonts w:eastAsia="MS ??" w:cs="Calibri"/>
                <w:b/>
                <w:bCs/>
                <w:iCs/>
                <w:color w:val="000000" w:themeColor="text1"/>
              </w:rPr>
              <w:t>UNLOCK – LPCS (95% CI)</w:t>
            </w:r>
          </w:p>
        </w:tc>
        <w:tc>
          <w:tcPr>
            <w:tcW w:w="1474" w:type="dxa"/>
          </w:tcPr>
          <w:p w:rsidR="009335AE" w:rsidRPr="00313756" w:rsidRDefault="009335AE" w:rsidP="009335AE">
            <w:pPr>
              <w:rPr>
                <w:rFonts w:eastAsia="MS ??" w:cs="Calibri"/>
                <w:b/>
                <w:bCs/>
                <w:iCs/>
                <w:color w:val="000000" w:themeColor="text1"/>
              </w:rPr>
            </w:pPr>
            <w:r w:rsidRPr="00313756">
              <w:rPr>
                <w:rFonts w:eastAsia="MS ??" w:cs="Calibri"/>
                <w:b/>
                <w:bCs/>
                <w:iCs/>
                <w:color w:val="000000" w:themeColor="text1"/>
              </w:rPr>
              <w:t>p-value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>Patients (N)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3508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 w:rsidRPr="00C57AB5">
              <w:rPr>
                <w:rFonts w:eastAsia="MS ??" w:cs="Calibri"/>
                <w:sz w:val="20"/>
                <w:szCs w:val="20"/>
              </w:rPr>
              <w:t>23860</w:t>
            </w: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>Age, years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66.3 (2.3)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57AB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63.7 (0.9)</w:t>
            </w: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-2.6 (-4.8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—-0.4)</w:t>
            </w: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0.03*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>Male</w:t>
            </w:r>
            <w:r>
              <w:rPr>
                <w:rFonts w:eastAsia="MS ??" w:cs="Calibri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59.6 (16.2)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57AB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73.3 (4.1)</w:t>
            </w: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13.7 (-1.3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—28.8)</w:t>
            </w: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0.07</w:t>
            </w:r>
          </w:p>
        </w:tc>
      </w:tr>
      <w:tr w:rsidR="009335AE" w:rsidRPr="009D07FB" w:rsidTr="00313756">
        <w:trPr>
          <w:trHeight w:hRule="exact" w:val="307"/>
        </w:trPr>
        <w:tc>
          <w:tcPr>
            <w:tcW w:w="4179" w:type="dxa"/>
          </w:tcPr>
          <w:p w:rsidR="009335AE" w:rsidRPr="00546FB9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546FB9">
              <w:rPr>
                <w:rFonts w:eastAsia="MS ??" w:cs="Calibri"/>
                <w:b/>
                <w:bCs/>
                <w:sz w:val="20"/>
                <w:szCs w:val="20"/>
              </w:rPr>
              <w:t>Current smokers, %</w:t>
            </w:r>
          </w:p>
        </w:tc>
        <w:tc>
          <w:tcPr>
            <w:tcW w:w="1435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42.4 (9.1)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40.7 (8.6)</w:t>
            </w:r>
          </w:p>
        </w:tc>
        <w:tc>
          <w:tcPr>
            <w:tcW w:w="2718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-1.7 (4.9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—-12.5)</w:t>
            </w:r>
          </w:p>
        </w:tc>
        <w:tc>
          <w:tcPr>
            <w:tcW w:w="1474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0.73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 xml:space="preserve">Pack years 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43.6 (13.5)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44.9 (4)</w:t>
            </w: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1.3 (-15.2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—17.8)</w:t>
            </w: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0.84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>BMI, kg/m</w:t>
            </w:r>
            <w:r w:rsidRPr="009D07FB">
              <w:rPr>
                <w:rFonts w:eastAsia="MS ??" w:cs="Calibri"/>
                <w:b/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26.2 (0.5)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25.6 (0.9)</w:t>
            </w: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-0.6 (-2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—0.7)</w:t>
            </w: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0.28</w:t>
            </w:r>
          </w:p>
        </w:tc>
      </w:tr>
      <w:tr w:rsidR="009335AE" w:rsidRPr="009D07FB" w:rsidTr="00313756">
        <w:trPr>
          <w:trHeight w:hRule="exact" w:val="315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proofErr w:type="spellStart"/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>Postbronchodilator</w:t>
            </w:r>
            <w:proofErr w:type="spellEnd"/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 xml:space="preserve"> FEV</w:t>
            </w:r>
            <w:r w:rsidRPr="009D07FB">
              <w:rPr>
                <w:rFonts w:eastAsia="MS ??" w:cs="Calibri"/>
                <w:b/>
                <w:bCs/>
                <w:sz w:val="20"/>
                <w:szCs w:val="20"/>
                <w:vertAlign w:val="subscript"/>
              </w:rPr>
              <w:t>1</w:t>
            </w:r>
            <w:r>
              <w:rPr>
                <w:rFonts w:eastAsia="MS ??" w:cs="Calibri"/>
                <w:b/>
                <w:bCs/>
                <w:sz w:val="20"/>
                <w:szCs w:val="20"/>
                <w:vertAlign w:val="subscript"/>
              </w:rPr>
              <w:t xml:space="preserve">, </w:t>
            </w:r>
            <w:r>
              <w:rPr>
                <w:rFonts w:eastAsia="MS ??" w:cs="Calibri"/>
                <w:b/>
                <w:bCs/>
                <w:sz w:val="20"/>
                <w:szCs w:val="20"/>
              </w:rPr>
              <w:t>% predicted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57 (5.4)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47.4 (2.4)</w:t>
            </w: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-9.6 (-14.8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 -4.4)</w:t>
            </w: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&lt;0.01*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>FEV1:FVC</w:t>
            </w:r>
            <w:r>
              <w:rPr>
                <w:rFonts w:eastAsia="MS ??" w:cs="Calibri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53.5 (1.6)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46.5 (4)</w:t>
            </w: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-7 (-11.9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—-2.1)</w:t>
            </w: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0.01*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>GOLD distribution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>
              <w:rPr>
                <w:rFonts w:eastAsia="MS ??" w:cs="Calibri"/>
                <w:bCs/>
                <w:sz w:val="20"/>
                <w:szCs w:val="20"/>
              </w:rPr>
              <w:t xml:space="preserve">Moderate GOLD II 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68.7 (12.5)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45 (6.3)</w:t>
            </w:r>
          </w:p>
        </w:tc>
        <w:tc>
          <w:tcPr>
            <w:tcW w:w="2718" w:type="dxa"/>
          </w:tcPr>
          <w:p w:rsidR="009335AE" w:rsidRPr="00F07330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-23.7 (-36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—11.3)</w:t>
            </w:r>
          </w:p>
        </w:tc>
        <w:tc>
          <w:tcPr>
            <w:tcW w:w="1474" w:type="dxa"/>
          </w:tcPr>
          <w:p w:rsidR="009335AE" w:rsidRPr="00F07330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&lt;0.01*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>
              <w:rPr>
                <w:rFonts w:eastAsia="MS ??" w:cs="Calibri"/>
                <w:bCs/>
                <w:sz w:val="20"/>
                <w:szCs w:val="20"/>
              </w:rPr>
              <w:t xml:space="preserve">Severe GOLD III 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25.6 (44.5)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44.5 (3.1)</w:t>
            </w:r>
          </w:p>
        </w:tc>
        <w:tc>
          <w:tcPr>
            <w:tcW w:w="2718" w:type="dxa"/>
          </w:tcPr>
          <w:p w:rsidR="009335AE" w:rsidRPr="00F07330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18.9 (9.5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—28.2)</w:t>
            </w:r>
          </w:p>
        </w:tc>
        <w:tc>
          <w:tcPr>
            <w:tcW w:w="1474" w:type="dxa"/>
          </w:tcPr>
          <w:p w:rsidR="009335AE" w:rsidRPr="00F07330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&lt;0.01*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>
              <w:rPr>
                <w:rFonts w:eastAsia="MS ??" w:cs="Calibri"/>
                <w:bCs/>
                <w:sz w:val="20"/>
                <w:szCs w:val="20"/>
              </w:rPr>
              <w:t xml:space="preserve">Very severe GOLD IV 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6.6 (5)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11.5 (3.5)</w:t>
            </w:r>
          </w:p>
        </w:tc>
        <w:tc>
          <w:tcPr>
            <w:tcW w:w="2718" w:type="dxa"/>
          </w:tcPr>
          <w:p w:rsidR="009335AE" w:rsidRPr="00F07330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4.9 (-1.4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—11.1)</w:t>
            </w:r>
          </w:p>
        </w:tc>
        <w:tc>
          <w:tcPr>
            <w:tcW w:w="1474" w:type="dxa"/>
          </w:tcPr>
          <w:p w:rsidR="009335AE" w:rsidRPr="00F07330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0.11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/>
                <w:bCs/>
                <w:sz w:val="20"/>
                <w:szCs w:val="20"/>
              </w:rPr>
              <w:t>Patient-reported outcomes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Cs/>
                <w:sz w:val="20"/>
                <w:szCs w:val="20"/>
              </w:rPr>
              <w:t xml:space="preserve">SGRQ 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35.1 (5.8)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48.4 (1.9)</w:t>
            </w:r>
          </w:p>
        </w:tc>
        <w:tc>
          <w:tcPr>
            <w:tcW w:w="2718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13.3 (4.5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—22.2)</w:t>
            </w:r>
          </w:p>
        </w:tc>
        <w:tc>
          <w:tcPr>
            <w:tcW w:w="1474" w:type="dxa"/>
          </w:tcPr>
          <w:p w:rsidR="009335AE" w:rsidRPr="009229D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0.02*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Cs/>
                <w:sz w:val="20"/>
                <w:szCs w:val="20"/>
              </w:rPr>
              <w:t>CCQ (mean)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1.7 (0.3)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-</w:t>
            </w:r>
          </w:p>
        </w:tc>
        <w:tc>
          <w:tcPr>
            <w:tcW w:w="2718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9D07FB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 w:rsidRPr="009D07FB">
              <w:rPr>
                <w:rFonts w:eastAsia="MS ??" w:cs="Calibri"/>
                <w:bCs/>
                <w:sz w:val="20"/>
                <w:szCs w:val="20"/>
              </w:rPr>
              <w:t>MRC (mean)</w:t>
            </w:r>
          </w:p>
        </w:tc>
        <w:tc>
          <w:tcPr>
            <w:tcW w:w="1435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2.1 (0.8)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2.7</w:t>
            </w:r>
          </w:p>
        </w:tc>
        <w:tc>
          <w:tcPr>
            <w:tcW w:w="2718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0.6 (-1.8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—3)</w:t>
            </w:r>
          </w:p>
        </w:tc>
        <w:tc>
          <w:tcPr>
            <w:tcW w:w="1474" w:type="dxa"/>
          </w:tcPr>
          <w:p w:rsidR="009335AE" w:rsidRPr="009D07FB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0.54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546FB9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 w:rsidRPr="00546FB9">
              <w:rPr>
                <w:rFonts w:eastAsia="MS ??" w:cs="Calibri"/>
                <w:bCs/>
                <w:sz w:val="20"/>
                <w:szCs w:val="20"/>
              </w:rPr>
              <w:t xml:space="preserve">MRC score </w:t>
            </w:r>
            <w:r w:rsidRPr="00546FB9">
              <w:rPr>
                <w:rFonts w:eastAsia="MS ??" w:cs="Calibri"/>
                <w:bCs/>
                <w:color w:val="000000"/>
                <w:sz w:val="20"/>
                <w:szCs w:val="20"/>
              </w:rPr>
              <w:t>&gt; 2 (%)</w:t>
            </w:r>
          </w:p>
        </w:tc>
        <w:tc>
          <w:tcPr>
            <w:tcW w:w="1435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32.3 (18.9)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51.5 (2.1)</w:t>
            </w:r>
          </w:p>
        </w:tc>
        <w:tc>
          <w:tcPr>
            <w:tcW w:w="2718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19.2 (-4.11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—42.4)</w:t>
            </w:r>
          </w:p>
        </w:tc>
        <w:tc>
          <w:tcPr>
            <w:tcW w:w="1474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0.09</w:t>
            </w:r>
          </w:p>
        </w:tc>
      </w:tr>
      <w:tr w:rsidR="009335AE" w:rsidRPr="009D07FB" w:rsidTr="00313756">
        <w:trPr>
          <w:trHeight w:hRule="exact" w:val="329"/>
        </w:trPr>
        <w:tc>
          <w:tcPr>
            <w:tcW w:w="4179" w:type="dxa"/>
          </w:tcPr>
          <w:p w:rsidR="009335AE" w:rsidRPr="00C57AB5" w:rsidRDefault="009335AE" w:rsidP="009335AE">
            <w:pPr>
              <w:rPr>
                <w:rFonts w:eastAsia="MS ??" w:cs="Calibri"/>
                <w:b/>
                <w:bCs/>
                <w:sz w:val="20"/>
                <w:szCs w:val="20"/>
              </w:rPr>
            </w:pPr>
            <w:r w:rsidRPr="00C57AB5">
              <w:rPr>
                <w:rFonts w:eastAsia="MS ??" w:cs="Calibri"/>
                <w:b/>
                <w:bCs/>
                <w:sz w:val="20"/>
                <w:szCs w:val="20"/>
              </w:rPr>
              <w:t>Exacerbation-related outcomes</w:t>
            </w:r>
          </w:p>
        </w:tc>
        <w:tc>
          <w:tcPr>
            <w:tcW w:w="1435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2718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546FB9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>
              <w:rPr>
                <w:rFonts w:eastAsia="MS ??" w:cs="Calibri"/>
                <w:bCs/>
                <w:sz w:val="20"/>
                <w:szCs w:val="20"/>
              </w:rPr>
              <w:t>Mean exacerbation rate p/</w:t>
            </w:r>
            <w:proofErr w:type="spellStart"/>
            <w:r>
              <w:rPr>
                <w:rFonts w:eastAsia="MS ??" w:cs="Calibri"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435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1.0 (0.3)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1.2 (0.4)</w:t>
            </w:r>
          </w:p>
        </w:tc>
        <w:tc>
          <w:tcPr>
            <w:tcW w:w="2718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0.2 (-0.4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—0.8)</w:t>
            </w:r>
          </w:p>
        </w:tc>
        <w:tc>
          <w:tcPr>
            <w:tcW w:w="1474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0.39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546FB9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r>
              <w:rPr>
                <w:rFonts w:eastAsia="MS ??" w:cs="Calibri"/>
                <w:bCs/>
                <w:sz w:val="20"/>
                <w:szCs w:val="20"/>
              </w:rPr>
              <w:t xml:space="preserve">≥1 exacerbation in preceding </w:t>
            </w:r>
            <w:proofErr w:type="spellStart"/>
            <w:r>
              <w:rPr>
                <w:rFonts w:eastAsia="MS ??" w:cs="Calibri"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435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48 (14)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58.8 (9)</w:t>
            </w:r>
          </w:p>
        </w:tc>
        <w:tc>
          <w:tcPr>
            <w:tcW w:w="2718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10.7 (-10.6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—32)</w:t>
            </w:r>
          </w:p>
        </w:tc>
        <w:tc>
          <w:tcPr>
            <w:tcW w:w="1474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0.25</w:t>
            </w:r>
          </w:p>
        </w:tc>
      </w:tr>
      <w:tr w:rsidR="009335AE" w:rsidRPr="009D07FB" w:rsidTr="00313756">
        <w:trPr>
          <w:trHeight w:hRule="exact" w:val="332"/>
        </w:trPr>
        <w:tc>
          <w:tcPr>
            <w:tcW w:w="4179" w:type="dxa"/>
          </w:tcPr>
          <w:p w:rsidR="009335AE" w:rsidRPr="00546FB9" w:rsidRDefault="009335AE" w:rsidP="0020495C">
            <w:pPr>
              <w:rPr>
                <w:rFonts w:eastAsia="MS ??" w:cs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MS ??" w:cs="Calibri"/>
                <w:bCs/>
                <w:sz w:val="20"/>
                <w:szCs w:val="20"/>
              </w:rPr>
              <w:t xml:space="preserve">≥2 exacerbation in preceding </w:t>
            </w:r>
            <w:proofErr w:type="spellStart"/>
            <w:r>
              <w:rPr>
                <w:rFonts w:eastAsia="MS ??" w:cs="Calibri"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435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24.8 (10.6)</w:t>
            </w:r>
          </w:p>
        </w:tc>
        <w:tc>
          <w:tcPr>
            <w:tcW w:w="1451" w:type="dxa"/>
          </w:tcPr>
          <w:p w:rsidR="009335AE" w:rsidRPr="00C57AB5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30.5 (2.1)</w:t>
            </w:r>
          </w:p>
        </w:tc>
        <w:tc>
          <w:tcPr>
            <w:tcW w:w="2718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5.7 (-10.6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—22)</w:t>
            </w:r>
          </w:p>
        </w:tc>
        <w:tc>
          <w:tcPr>
            <w:tcW w:w="1474" w:type="dxa"/>
          </w:tcPr>
          <w:p w:rsidR="009335AE" w:rsidRPr="00546FB9" w:rsidRDefault="009335AE" w:rsidP="009335AE">
            <w:pPr>
              <w:rPr>
                <w:rFonts w:eastAsia="MS ??" w:cs="Calibri"/>
                <w:sz w:val="20"/>
                <w:szCs w:val="20"/>
              </w:rPr>
            </w:pPr>
            <w:r>
              <w:rPr>
                <w:rFonts w:eastAsia="MS ??" w:cs="Calibri"/>
                <w:sz w:val="20"/>
                <w:szCs w:val="20"/>
              </w:rPr>
              <w:t>0.37</w:t>
            </w:r>
          </w:p>
        </w:tc>
      </w:tr>
    </w:tbl>
    <w:p w:rsidR="007C08D4" w:rsidRDefault="009335AE">
      <w:r>
        <w:t>Table S1. Sensitivity analysis on UNLOCK patients with GOLD stage II or above; comparison with large COPD studies, including independent sample t-tests.</w:t>
      </w:r>
    </w:p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Default="009335AE"/>
    <w:p w:rsidR="009335AE" w:rsidRPr="009335AE" w:rsidRDefault="009335A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Results are means (SD). Abbreviations: </w:t>
      </w:r>
      <w:r>
        <w:rPr>
          <w:rFonts w:cs="Calibri"/>
          <w:sz w:val="20"/>
          <w:szCs w:val="20"/>
        </w:rPr>
        <w:t xml:space="preserve">BMI: body mass index; FEV1: forced expiratory volume in 1 second; FVC: Forced vital capacity; GOLD: Global initiative for chronic Obstructive Lung Disease; SGRQ: St Georges Respiratory Questionnaire; CCQ: Clinical COPD Questionnaire; MRC: Medical Research </w:t>
      </w:r>
      <w:proofErr w:type="spellStart"/>
      <w:r>
        <w:rPr>
          <w:rFonts w:cs="Calibri"/>
          <w:sz w:val="20"/>
          <w:szCs w:val="20"/>
        </w:rPr>
        <w:t>Counsil</w:t>
      </w:r>
      <w:proofErr w:type="spellEnd"/>
    </w:p>
    <w:sectPr w:rsidR="009335AE" w:rsidRPr="009335AE" w:rsidSect="00C57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AE" w:rsidRDefault="009335AE" w:rsidP="009335AE">
      <w:pPr>
        <w:spacing w:after="0" w:line="240" w:lineRule="auto"/>
      </w:pPr>
      <w:r>
        <w:separator/>
      </w:r>
    </w:p>
  </w:endnote>
  <w:endnote w:type="continuationSeparator" w:id="0">
    <w:p w:rsidR="009335AE" w:rsidRDefault="009335AE" w:rsidP="0093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AE" w:rsidRDefault="009335AE" w:rsidP="009335AE">
      <w:pPr>
        <w:spacing w:after="0" w:line="240" w:lineRule="auto"/>
      </w:pPr>
      <w:r>
        <w:separator/>
      </w:r>
    </w:p>
  </w:footnote>
  <w:footnote w:type="continuationSeparator" w:id="0">
    <w:p w:rsidR="009335AE" w:rsidRDefault="009335AE" w:rsidP="0093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B5"/>
    <w:rsid w:val="000A4EF5"/>
    <w:rsid w:val="0020495C"/>
    <w:rsid w:val="00313756"/>
    <w:rsid w:val="00696F8E"/>
    <w:rsid w:val="006A1B0A"/>
    <w:rsid w:val="006C778C"/>
    <w:rsid w:val="009335AE"/>
    <w:rsid w:val="00C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A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A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Kruis, Annemarije L</dc:creator>
  <cp:lastModifiedBy>Onderzoeksmedewerker</cp:lastModifiedBy>
  <cp:revision>3</cp:revision>
  <dcterms:created xsi:type="dcterms:W3CDTF">2014-02-03T11:56:00Z</dcterms:created>
  <dcterms:modified xsi:type="dcterms:W3CDTF">2014-02-05T16:33:00Z</dcterms:modified>
</cp:coreProperties>
</file>