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E4" w:rsidRPr="00822FE4" w:rsidRDefault="00822FE4" w:rsidP="003F3A46">
      <w:pPr>
        <w:jc w:val="both"/>
        <w:rPr>
          <w:b/>
          <w:lang w:val="en-GB"/>
        </w:rPr>
      </w:pPr>
      <w:r>
        <w:rPr>
          <w:b/>
          <w:lang w:val="en-GB"/>
        </w:rPr>
        <w:t xml:space="preserve">Supporting </w:t>
      </w:r>
      <w:r w:rsidR="00B140CB">
        <w:rPr>
          <w:b/>
          <w:lang w:val="en-GB"/>
        </w:rPr>
        <w:t>Information S3</w:t>
      </w:r>
      <w:r>
        <w:rPr>
          <w:b/>
          <w:lang w:val="en-GB"/>
        </w:rPr>
        <w:t xml:space="preserve"> –PCA analysis</w:t>
      </w:r>
    </w:p>
    <w:p w:rsidR="00822FE4" w:rsidRDefault="00822FE4" w:rsidP="003F3A46">
      <w:pPr>
        <w:jc w:val="both"/>
        <w:rPr>
          <w:sz w:val="20"/>
          <w:szCs w:val="20"/>
          <w:lang w:val="en-GB"/>
        </w:rPr>
      </w:pPr>
    </w:p>
    <w:p w:rsidR="00822FE4" w:rsidRPr="00822FE4" w:rsidRDefault="00822FE4" w:rsidP="003F3A46">
      <w:pPr>
        <w:jc w:val="both"/>
        <w:rPr>
          <w:sz w:val="20"/>
          <w:szCs w:val="20"/>
          <w:lang w:val="en-GB"/>
        </w:rPr>
      </w:pPr>
      <w:r w:rsidRPr="00822FE4">
        <w:rPr>
          <w:sz w:val="20"/>
          <w:szCs w:val="20"/>
          <w:lang w:val="en-GB"/>
        </w:rPr>
        <w:t xml:space="preserve">Results of the PCA analysis show that the four governance indicators are highly correlated (Table </w:t>
      </w:r>
      <w:r w:rsidR="00667781">
        <w:rPr>
          <w:sz w:val="20"/>
          <w:szCs w:val="20"/>
          <w:lang w:val="en-GB"/>
        </w:rPr>
        <w:t>S</w:t>
      </w:r>
      <w:r w:rsidR="003F3A46">
        <w:rPr>
          <w:sz w:val="20"/>
          <w:szCs w:val="20"/>
          <w:lang w:val="en-GB"/>
        </w:rPr>
        <w:t>1</w:t>
      </w:r>
      <w:r w:rsidRPr="00822FE4">
        <w:rPr>
          <w:sz w:val="20"/>
          <w:szCs w:val="20"/>
          <w:lang w:val="en-GB"/>
        </w:rPr>
        <w:t xml:space="preserve">). Therefore, only one governance indicator, Regulatory Quality, has been used for the regression analysis. </w:t>
      </w:r>
    </w:p>
    <w:p w:rsidR="00822FE4" w:rsidRPr="00822FE4" w:rsidRDefault="00822FE4" w:rsidP="003F3A46">
      <w:pPr>
        <w:ind w:firstLine="360"/>
        <w:jc w:val="both"/>
        <w:rPr>
          <w:sz w:val="20"/>
          <w:szCs w:val="20"/>
          <w:lang w:val="en-GB"/>
        </w:rPr>
      </w:pPr>
      <w:r w:rsidRPr="00822FE4">
        <w:rPr>
          <w:sz w:val="20"/>
          <w:szCs w:val="20"/>
          <w:lang w:val="en-GB"/>
        </w:rPr>
        <w:t xml:space="preserve">Market influence and market access are also highly correlated (Table </w:t>
      </w:r>
      <w:r>
        <w:rPr>
          <w:sz w:val="20"/>
          <w:szCs w:val="20"/>
          <w:lang w:val="en-GB"/>
        </w:rPr>
        <w:t>S</w:t>
      </w:r>
      <w:r w:rsidR="003F3A46">
        <w:rPr>
          <w:sz w:val="20"/>
          <w:szCs w:val="20"/>
          <w:lang w:val="en-GB"/>
        </w:rPr>
        <w:t>1</w:t>
      </w:r>
      <w:r w:rsidRPr="00822FE4">
        <w:rPr>
          <w:sz w:val="20"/>
          <w:szCs w:val="20"/>
          <w:lang w:val="en-GB"/>
        </w:rPr>
        <w:t>). Market influence is deduced from a market accessibility index and the Purchasing Power Parity (PPP) per [25]. We chose to include market influence in the regression analysis. The economic status, which is an important underlying driver of wetland conversion (Figure 4), is in this way also (besides market accessibility) indirectly included in the analysis.</w:t>
      </w:r>
    </w:p>
    <w:p w:rsidR="00822FE4" w:rsidRPr="00822FE4" w:rsidRDefault="00822FE4" w:rsidP="003F3A46">
      <w:pPr>
        <w:ind w:firstLine="360"/>
        <w:jc w:val="both"/>
        <w:rPr>
          <w:sz w:val="20"/>
          <w:szCs w:val="20"/>
          <w:lang w:val="en-GB"/>
        </w:rPr>
      </w:pPr>
      <w:r w:rsidRPr="00822FE4">
        <w:rPr>
          <w:sz w:val="20"/>
          <w:szCs w:val="20"/>
          <w:lang w:val="en-GB"/>
        </w:rPr>
        <w:t xml:space="preserve"> Third, the occurrence of </w:t>
      </w:r>
      <w:proofErr w:type="spellStart"/>
      <w:r w:rsidRPr="00822FE4">
        <w:rPr>
          <w:sz w:val="20"/>
          <w:szCs w:val="20"/>
          <w:lang w:val="en-GB"/>
        </w:rPr>
        <w:t>Histosols</w:t>
      </w:r>
      <w:proofErr w:type="spellEnd"/>
      <w:r w:rsidRPr="00822FE4">
        <w:rPr>
          <w:sz w:val="20"/>
          <w:szCs w:val="20"/>
          <w:lang w:val="en-GB"/>
        </w:rPr>
        <w:t xml:space="preserve"> and the soil organic content are highly correlated (Table </w:t>
      </w:r>
      <w:r>
        <w:rPr>
          <w:sz w:val="20"/>
          <w:szCs w:val="20"/>
          <w:lang w:val="en-GB"/>
        </w:rPr>
        <w:t>S</w:t>
      </w:r>
      <w:r w:rsidR="003F3A46">
        <w:rPr>
          <w:sz w:val="20"/>
          <w:szCs w:val="20"/>
          <w:lang w:val="en-GB"/>
        </w:rPr>
        <w:t>1</w:t>
      </w:r>
      <w:r w:rsidRPr="00822FE4">
        <w:rPr>
          <w:sz w:val="20"/>
          <w:szCs w:val="20"/>
          <w:lang w:val="en-GB"/>
        </w:rPr>
        <w:t xml:space="preserve">). This is trivial because </w:t>
      </w:r>
      <w:proofErr w:type="spellStart"/>
      <w:r w:rsidRPr="00822FE4">
        <w:rPr>
          <w:sz w:val="20"/>
          <w:szCs w:val="20"/>
          <w:lang w:val="en-GB"/>
        </w:rPr>
        <w:t>Histosols</w:t>
      </w:r>
      <w:proofErr w:type="spellEnd"/>
      <w:r w:rsidRPr="00822FE4">
        <w:rPr>
          <w:sz w:val="20"/>
          <w:szCs w:val="20"/>
          <w:lang w:val="en-GB"/>
        </w:rPr>
        <w:t xml:space="preserve"> are defined as soils that are rich in organic matter [32]. Because organic content is the main variable used to distinguish </w:t>
      </w:r>
      <w:proofErr w:type="spellStart"/>
      <w:r w:rsidRPr="00822FE4">
        <w:rPr>
          <w:sz w:val="20"/>
          <w:szCs w:val="20"/>
          <w:lang w:val="en-GB"/>
        </w:rPr>
        <w:t>Histosols</w:t>
      </w:r>
      <w:proofErr w:type="spellEnd"/>
      <w:r w:rsidRPr="00822FE4">
        <w:rPr>
          <w:sz w:val="20"/>
          <w:szCs w:val="20"/>
          <w:lang w:val="en-GB"/>
        </w:rPr>
        <w:t>, only organic content has been used in the regression analysis.</w:t>
      </w:r>
    </w:p>
    <w:p w:rsidR="00822FE4" w:rsidRPr="00822FE4" w:rsidRDefault="00822FE4" w:rsidP="003F3A46">
      <w:pPr>
        <w:ind w:firstLine="360"/>
        <w:jc w:val="both"/>
        <w:rPr>
          <w:sz w:val="20"/>
          <w:szCs w:val="20"/>
          <w:lang w:val="en-GB"/>
        </w:rPr>
      </w:pPr>
      <w:r w:rsidRPr="00822FE4">
        <w:rPr>
          <w:sz w:val="20"/>
          <w:szCs w:val="20"/>
          <w:lang w:val="en-GB"/>
        </w:rPr>
        <w:t xml:space="preserve">Finally, </w:t>
      </w:r>
      <w:r w:rsidR="0013550A">
        <w:rPr>
          <w:sz w:val="20"/>
          <w:szCs w:val="20"/>
          <w:lang w:val="en-GB"/>
        </w:rPr>
        <w:t>cropland area</w:t>
      </w:r>
      <w:r w:rsidRPr="00822FE4">
        <w:rPr>
          <w:sz w:val="20"/>
          <w:szCs w:val="20"/>
          <w:lang w:val="en-GB"/>
        </w:rPr>
        <w:t xml:space="preserve"> is highly correlated with the technical efficiency of agricultural production at these locations. This means that in wetland locations with large cropland areas the intensity of cultivation is also high. We chose to use </w:t>
      </w:r>
      <w:r w:rsidR="0013550A">
        <w:rPr>
          <w:sz w:val="20"/>
          <w:szCs w:val="20"/>
          <w:lang w:val="en-GB"/>
        </w:rPr>
        <w:t>cropland area</w:t>
      </w:r>
      <w:r w:rsidRPr="00822FE4">
        <w:rPr>
          <w:sz w:val="20"/>
          <w:szCs w:val="20"/>
          <w:lang w:val="en-GB"/>
        </w:rPr>
        <w:t xml:space="preserve"> as an independent variable in the regression analysis. </w:t>
      </w:r>
    </w:p>
    <w:p w:rsidR="003F3A46" w:rsidRDefault="003F3A46" w:rsidP="003F3A46">
      <w:pPr>
        <w:jc w:val="both"/>
        <w:rPr>
          <w:b/>
          <w:sz w:val="20"/>
          <w:szCs w:val="20"/>
          <w:lang w:val="en-GB"/>
        </w:rPr>
      </w:pPr>
    </w:p>
    <w:p w:rsidR="003F3A46" w:rsidRPr="000F7725" w:rsidRDefault="003F3A46" w:rsidP="003F3A46">
      <w:pPr>
        <w:jc w:val="both"/>
        <w:rPr>
          <w:sz w:val="20"/>
          <w:szCs w:val="20"/>
        </w:rPr>
      </w:pPr>
      <w:r>
        <w:rPr>
          <w:b/>
          <w:sz w:val="20"/>
          <w:szCs w:val="20"/>
          <w:lang w:val="en-GB"/>
        </w:rPr>
        <w:t>Table S1</w:t>
      </w:r>
      <w:r w:rsidRPr="00D25998">
        <w:rPr>
          <w:b/>
          <w:sz w:val="20"/>
          <w:szCs w:val="20"/>
          <w:lang w:val="en-GB"/>
        </w:rPr>
        <w:t>.</w:t>
      </w:r>
      <w:r w:rsidRPr="00D25998">
        <w:rPr>
          <w:sz w:val="20"/>
          <w:szCs w:val="20"/>
          <w:lang w:val="en-GB"/>
        </w:rPr>
        <w:t xml:space="preserve"> </w:t>
      </w:r>
      <w:proofErr w:type="gramStart"/>
      <w:r w:rsidRPr="000F7725">
        <w:rPr>
          <w:sz w:val="20"/>
          <w:szCs w:val="20"/>
        </w:rPr>
        <w:t>Principal components loadings.</w:t>
      </w:r>
      <w:proofErr w:type="gramEnd"/>
      <w:r w:rsidRPr="000F7725">
        <w:rPr>
          <w:sz w:val="20"/>
          <w:szCs w:val="20"/>
        </w:rPr>
        <w:t xml:space="preserve"> All wetland conversion cases and the no wetland conversion sites are included in the PCA analysis (N=21</w:t>
      </w:r>
      <w:r w:rsidR="00CA5069">
        <w:rPr>
          <w:sz w:val="20"/>
          <w:szCs w:val="20"/>
        </w:rPr>
        <w:t>0</w:t>
      </w:r>
      <w:r w:rsidRPr="000F7725">
        <w:rPr>
          <w:sz w:val="20"/>
          <w:szCs w:val="20"/>
        </w:rPr>
        <w:t xml:space="preserve">). The percentage of variance explained by each component is indicated between brackets. </w:t>
      </w:r>
    </w:p>
    <w:tbl>
      <w:tblPr>
        <w:tblW w:w="7627" w:type="dxa"/>
        <w:tblInd w:w="93" w:type="dxa"/>
        <w:tblLook w:val="04A0"/>
      </w:tblPr>
      <w:tblGrid>
        <w:gridCol w:w="3525"/>
        <w:gridCol w:w="1025"/>
        <w:gridCol w:w="1025"/>
        <w:gridCol w:w="1026"/>
        <w:gridCol w:w="1026"/>
      </w:tblGrid>
      <w:tr w:rsidR="003F3A46" w:rsidRPr="00D25998" w:rsidTr="00787248">
        <w:trPr>
          <w:trHeight w:val="270"/>
        </w:trPr>
        <w:tc>
          <w:tcPr>
            <w:tcW w:w="3525" w:type="dxa"/>
            <w:tcBorders>
              <w:top w:val="nil"/>
              <w:left w:val="nil"/>
              <w:right w:val="single" w:sz="4" w:space="0" w:color="auto"/>
            </w:tcBorders>
            <w:shd w:val="clear" w:color="auto" w:fill="auto"/>
            <w:noWrap/>
            <w:hideMark/>
          </w:tcPr>
          <w:p w:rsidR="003F3A46" w:rsidRPr="00D25998" w:rsidRDefault="003F3A46" w:rsidP="00787248">
            <w:pPr>
              <w:jc w:val="center"/>
              <w:rPr>
                <w:rFonts w:eastAsia="Times New Roman" w:cs="Arial"/>
                <w:sz w:val="20"/>
                <w:szCs w:val="20"/>
                <w:lang w:val="en-GB"/>
              </w:rPr>
            </w:pPr>
          </w:p>
        </w:tc>
        <w:tc>
          <w:tcPr>
            <w:tcW w:w="4102" w:type="dxa"/>
            <w:gridSpan w:val="4"/>
            <w:tcBorders>
              <w:top w:val="nil"/>
              <w:left w:val="single" w:sz="4" w:space="0" w:color="auto"/>
              <w:right w:val="nil"/>
            </w:tcBorders>
            <w:shd w:val="clear" w:color="auto" w:fill="auto"/>
            <w:hideMark/>
          </w:tcPr>
          <w:p w:rsidR="003F3A46" w:rsidRPr="00D25998" w:rsidRDefault="003F3A46" w:rsidP="00787248">
            <w:pPr>
              <w:jc w:val="center"/>
              <w:rPr>
                <w:rFonts w:eastAsia="Times New Roman" w:cs="Arial"/>
                <w:b/>
                <w:sz w:val="20"/>
                <w:szCs w:val="20"/>
                <w:lang w:val="en-GB"/>
              </w:rPr>
            </w:pPr>
            <w:r w:rsidRPr="00D25998">
              <w:rPr>
                <w:rFonts w:eastAsia="Times New Roman" w:cs="Arial"/>
                <w:b/>
                <w:sz w:val="20"/>
                <w:szCs w:val="20"/>
                <w:lang w:val="en-GB"/>
              </w:rPr>
              <w:t>Principal Component</w:t>
            </w:r>
          </w:p>
        </w:tc>
      </w:tr>
      <w:tr w:rsidR="003F3A46" w:rsidRPr="00D25998" w:rsidTr="00787248">
        <w:trPr>
          <w:trHeight w:val="259"/>
        </w:trPr>
        <w:tc>
          <w:tcPr>
            <w:tcW w:w="3525" w:type="dxa"/>
            <w:tcBorders>
              <w:top w:val="nil"/>
              <w:left w:val="nil"/>
              <w:bottom w:val="single" w:sz="4" w:space="0" w:color="auto"/>
              <w:right w:val="single" w:sz="4" w:space="0" w:color="auto"/>
            </w:tcBorders>
            <w:shd w:val="clear" w:color="auto" w:fill="auto"/>
            <w:noWrap/>
            <w:vAlign w:val="bottom"/>
            <w:hideMark/>
          </w:tcPr>
          <w:p w:rsidR="003F3A46" w:rsidRPr="00D25998" w:rsidRDefault="003F3A46" w:rsidP="00787248">
            <w:pPr>
              <w:rPr>
                <w:rFonts w:eastAsia="Times New Roman" w:cs="Arial"/>
                <w:sz w:val="20"/>
                <w:szCs w:val="20"/>
                <w:lang w:val="en-GB"/>
              </w:rPr>
            </w:pPr>
          </w:p>
        </w:tc>
        <w:tc>
          <w:tcPr>
            <w:tcW w:w="1025" w:type="dxa"/>
            <w:tcBorders>
              <w:top w:val="nil"/>
              <w:left w:val="single" w:sz="4" w:space="0" w:color="auto"/>
              <w:bottom w:val="single" w:sz="4" w:space="0" w:color="auto"/>
              <w:right w:val="nil"/>
            </w:tcBorders>
            <w:shd w:val="clear" w:color="auto" w:fill="auto"/>
            <w:hideMark/>
          </w:tcPr>
          <w:p w:rsidR="003F3A46" w:rsidRPr="00D25998" w:rsidRDefault="003F3A46" w:rsidP="009B5638">
            <w:pPr>
              <w:jc w:val="center"/>
              <w:rPr>
                <w:rFonts w:eastAsia="Times New Roman" w:cs="Arial"/>
                <w:b/>
                <w:sz w:val="20"/>
                <w:szCs w:val="20"/>
                <w:lang w:val="en-GB"/>
              </w:rPr>
            </w:pPr>
            <w:r w:rsidRPr="00D25998">
              <w:rPr>
                <w:rFonts w:eastAsia="Times New Roman" w:cs="Arial"/>
                <w:b/>
                <w:sz w:val="20"/>
                <w:szCs w:val="20"/>
                <w:lang w:val="en-GB"/>
              </w:rPr>
              <w:t>1 (2</w:t>
            </w:r>
            <w:r w:rsidR="009B5638">
              <w:rPr>
                <w:rFonts w:eastAsia="Times New Roman" w:cs="Arial"/>
                <w:b/>
                <w:sz w:val="20"/>
                <w:szCs w:val="20"/>
                <w:lang w:val="en-GB"/>
              </w:rPr>
              <w:t>5</w:t>
            </w:r>
            <w:r w:rsidRPr="00D25998">
              <w:rPr>
                <w:rFonts w:eastAsia="Times New Roman" w:cs="Arial"/>
                <w:b/>
                <w:sz w:val="20"/>
                <w:szCs w:val="20"/>
                <w:lang w:val="en-GB"/>
              </w:rPr>
              <w:t>%)</w:t>
            </w:r>
          </w:p>
        </w:tc>
        <w:tc>
          <w:tcPr>
            <w:tcW w:w="1025" w:type="dxa"/>
            <w:tcBorders>
              <w:top w:val="nil"/>
              <w:left w:val="nil"/>
              <w:bottom w:val="single" w:sz="4" w:space="0" w:color="auto"/>
              <w:right w:val="nil"/>
            </w:tcBorders>
            <w:shd w:val="clear" w:color="auto" w:fill="auto"/>
            <w:hideMark/>
          </w:tcPr>
          <w:p w:rsidR="003F3A46" w:rsidRPr="00D25998" w:rsidRDefault="003F3A46" w:rsidP="009B5638">
            <w:pPr>
              <w:jc w:val="center"/>
              <w:rPr>
                <w:rFonts w:eastAsia="Times New Roman" w:cs="Arial"/>
                <w:b/>
                <w:sz w:val="20"/>
                <w:szCs w:val="20"/>
                <w:lang w:val="en-GB"/>
              </w:rPr>
            </w:pPr>
            <w:r w:rsidRPr="00D25998">
              <w:rPr>
                <w:rFonts w:eastAsia="Times New Roman" w:cs="Arial"/>
                <w:b/>
                <w:sz w:val="20"/>
                <w:szCs w:val="20"/>
                <w:lang w:val="en-GB"/>
              </w:rPr>
              <w:t>2 (</w:t>
            </w:r>
            <w:r w:rsidR="009B5638">
              <w:rPr>
                <w:rFonts w:eastAsia="Times New Roman" w:cs="Arial"/>
                <w:b/>
                <w:sz w:val="20"/>
                <w:szCs w:val="20"/>
                <w:lang w:val="en-GB"/>
              </w:rPr>
              <w:t>18</w:t>
            </w:r>
            <w:r w:rsidRPr="00D25998">
              <w:rPr>
                <w:rFonts w:eastAsia="Times New Roman" w:cs="Arial"/>
                <w:b/>
                <w:sz w:val="20"/>
                <w:szCs w:val="20"/>
                <w:lang w:val="en-GB"/>
              </w:rPr>
              <w:t>%)</w:t>
            </w:r>
          </w:p>
        </w:tc>
        <w:tc>
          <w:tcPr>
            <w:tcW w:w="1026" w:type="dxa"/>
            <w:tcBorders>
              <w:top w:val="nil"/>
              <w:left w:val="nil"/>
              <w:bottom w:val="single" w:sz="4" w:space="0" w:color="auto"/>
              <w:right w:val="nil"/>
            </w:tcBorders>
            <w:shd w:val="clear" w:color="auto" w:fill="auto"/>
            <w:hideMark/>
          </w:tcPr>
          <w:p w:rsidR="003F3A46" w:rsidRPr="00D25998" w:rsidRDefault="003F3A46" w:rsidP="009B5638">
            <w:pPr>
              <w:jc w:val="center"/>
              <w:rPr>
                <w:rFonts w:eastAsia="Times New Roman" w:cs="Arial"/>
                <w:b/>
                <w:sz w:val="20"/>
                <w:szCs w:val="20"/>
                <w:lang w:val="en-GB"/>
              </w:rPr>
            </w:pPr>
            <w:r w:rsidRPr="00D25998">
              <w:rPr>
                <w:rFonts w:eastAsia="Times New Roman" w:cs="Arial"/>
                <w:b/>
                <w:sz w:val="20"/>
                <w:szCs w:val="20"/>
                <w:lang w:val="en-GB"/>
              </w:rPr>
              <w:t>3 (1</w:t>
            </w:r>
            <w:r w:rsidR="009B5638">
              <w:rPr>
                <w:rFonts w:eastAsia="Times New Roman" w:cs="Arial"/>
                <w:b/>
                <w:sz w:val="20"/>
                <w:szCs w:val="20"/>
                <w:lang w:val="en-GB"/>
              </w:rPr>
              <w:t>2</w:t>
            </w:r>
            <w:r w:rsidRPr="00D25998">
              <w:rPr>
                <w:rFonts w:eastAsia="Times New Roman" w:cs="Arial"/>
                <w:b/>
                <w:sz w:val="20"/>
                <w:szCs w:val="20"/>
                <w:lang w:val="en-GB"/>
              </w:rPr>
              <w:t>%)</w:t>
            </w:r>
          </w:p>
        </w:tc>
        <w:tc>
          <w:tcPr>
            <w:tcW w:w="1026" w:type="dxa"/>
            <w:tcBorders>
              <w:top w:val="nil"/>
              <w:left w:val="nil"/>
              <w:bottom w:val="single" w:sz="4" w:space="0" w:color="auto"/>
              <w:right w:val="nil"/>
            </w:tcBorders>
            <w:shd w:val="clear" w:color="auto" w:fill="auto"/>
            <w:hideMark/>
          </w:tcPr>
          <w:p w:rsidR="003F3A46" w:rsidRPr="00D25998" w:rsidRDefault="003F3A46" w:rsidP="00787248">
            <w:pPr>
              <w:jc w:val="center"/>
              <w:rPr>
                <w:rFonts w:eastAsia="Times New Roman" w:cs="Arial"/>
                <w:b/>
                <w:sz w:val="20"/>
                <w:szCs w:val="20"/>
                <w:lang w:val="en-GB"/>
              </w:rPr>
            </w:pPr>
            <w:r w:rsidRPr="00D25998">
              <w:rPr>
                <w:rFonts w:eastAsia="Times New Roman" w:cs="Arial"/>
                <w:b/>
                <w:sz w:val="20"/>
                <w:szCs w:val="20"/>
                <w:lang w:val="en-GB"/>
              </w:rPr>
              <w:t>4 (10%)</w:t>
            </w:r>
          </w:p>
        </w:tc>
      </w:tr>
      <w:tr w:rsidR="009B5638" w:rsidRPr="00D25998" w:rsidTr="00787248">
        <w:trPr>
          <w:trHeight w:val="255"/>
        </w:trPr>
        <w:tc>
          <w:tcPr>
            <w:tcW w:w="3525" w:type="dxa"/>
            <w:tcBorders>
              <w:top w:val="single" w:sz="4" w:space="0" w:color="auto"/>
              <w:left w:val="nil"/>
              <w:bottom w:val="nil"/>
              <w:right w:val="single" w:sz="4" w:space="0" w:color="auto"/>
            </w:tcBorders>
            <w:shd w:val="clear" w:color="auto" w:fill="auto"/>
            <w:noWrap/>
            <w:vAlign w:val="bottom"/>
            <w:hideMark/>
          </w:tcPr>
          <w:p w:rsidR="009B5638" w:rsidRPr="00D25998" w:rsidRDefault="009B5638" w:rsidP="00787248">
            <w:pPr>
              <w:rPr>
                <w:rFonts w:eastAsia="Times New Roman" w:cs="Arial"/>
                <w:sz w:val="20"/>
                <w:szCs w:val="20"/>
                <w:lang w:val="en-GB"/>
              </w:rPr>
            </w:pPr>
            <w:r w:rsidRPr="00D25998">
              <w:rPr>
                <w:rFonts w:eastAsia="Times New Roman" w:cs="Arial"/>
                <w:sz w:val="20"/>
                <w:szCs w:val="20"/>
                <w:lang w:val="en-GB"/>
              </w:rPr>
              <w:t>Distance to roads</w:t>
            </w:r>
          </w:p>
        </w:tc>
        <w:tc>
          <w:tcPr>
            <w:tcW w:w="1025" w:type="dxa"/>
            <w:tcBorders>
              <w:top w:val="single" w:sz="4" w:space="0" w:color="auto"/>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.016</w:t>
            </w:r>
          </w:p>
        </w:tc>
        <w:tc>
          <w:tcPr>
            <w:tcW w:w="1025" w:type="dxa"/>
            <w:tcBorders>
              <w:top w:val="single" w:sz="4" w:space="0" w:color="auto"/>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-.509</w:t>
            </w:r>
          </w:p>
        </w:tc>
        <w:tc>
          <w:tcPr>
            <w:tcW w:w="1026" w:type="dxa"/>
            <w:tcBorders>
              <w:top w:val="single" w:sz="4" w:space="0" w:color="auto"/>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.115</w:t>
            </w:r>
          </w:p>
        </w:tc>
        <w:tc>
          <w:tcPr>
            <w:tcW w:w="1026" w:type="dxa"/>
            <w:tcBorders>
              <w:top w:val="single" w:sz="4" w:space="0" w:color="auto"/>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.102</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13550A">
            <w:pPr>
              <w:rPr>
                <w:rFonts w:eastAsia="Times New Roman" w:cs="Arial"/>
                <w:sz w:val="20"/>
                <w:szCs w:val="20"/>
                <w:lang w:val="en-GB"/>
              </w:rPr>
            </w:pPr>
            <w:r w:rsidRPr="00D25998">
              <w:rPr>
                <w:rFonts w:eastAsia="Times New Roman" w:cs="Arial"/>
                <w:sz w:val="20"/>
                <w:szCs w:val="20"/>
                <w:lang w:val="en-GB"/>
              </w:rPr>
              <w:t xml:space="preserve">Wetland </w:t>
            </w:r>
            <w:r>
              <w:rPr>
                <w:rFonts w:eastAsia="Times New Roman" w:cs="Arial"/>
                <w:sz w:val="20"/>
                <w:szCs w:val="20"/>
                <w:lang w:val="en-GB"/>
              </w:rPr>
              <w:t>area</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-.136</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-.246</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.312</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.170</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rPr>
                <w:rFonts w:eastAsia="Times New Roman" w:cs="Arial"/>
                <w:sz w:val="20"/>
                <w:szCs w:val="20"/>
                <w:lang w:val="en-GB"/>
              </w:rPr>
            </w:pPr>
            <w:r w:rsidRPr="00D25998">
              <w:rPr>
                <w:rFonts w:eastAsia="Times New Roman" w:cs="Arial"/>
                <w:sz w:val="20"/>
                <w:szCs w:val="20"/>
                <w:lang w:val="en-GB"/>
              </w:rPr>
              <w:t>Rule of law</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.960</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-.121</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.037</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-.085</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rPr>
                <w:rFonts w:eastAsia="Times New Roman" w:cs="Arial"/>
                <w:sz w:val="20"/>
                <w:szCs w:val="20"/>
                <w:lang w:val="en-GB"/>
              </w:rPr>
            </w:pPr>
            <w:r w:rsidRPr="00D25998">
              <w:rPr>
                <w:rFonts w:eastAsia="Times New Roman" w:cs="Arial"/>
                <w:sz w:val="20"/>
                <w:szCs w:val="20"/>
                <w:lang w:val="en-GB"/>
              </w:rPr>
              <w:t>Government effectiveness</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.946</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-.144</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.099</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-.085</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rPr>
                <w:rFonts w:eastAsia="Times New Roman" w:cs="Arial"/>
                <w:sz w:val="20"/>
                <w:szCs w:val="20"/>
                <w:lang w:val="en-GB"/>
              </w:rPr>
            </w:pPr>
            <w:r w:rsidRPr="00D25998">
              <w:rPr>
                <w:rFonts w:eastAsia="Times New Roman" w:cs="Arial"/>
                <w:sz w:val="20"/>
                <w:szCs w:val="20"/>
                <w:lang w:val="en-GB"/>
              </w:rPr>
              <w:t>Regulatory quality</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.963</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-.102</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.089</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-.044</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rPr>
                <w:rFonts w:eastAsia="Times New Roman" w:cs="Arial"/>
                <w:sz w:val="20"/>
                <w:szCs w:val="20"/>
                <w:lang w:val="en-GB"/>
              </w:rPr>
            </w:pPr>
            <w:r w:rsidRPr="00D25998">
              <w:rPr>
                <w:rFonts w:eastAsia="Times New Roman" w:cs="Arial"/>
                <w:sz w:val="20"/>
                <w:szCs w:val="20"/>
                <w:lang w:val="en-GB"/>
              </w:rPr>
              <w:t>Voice and accountability</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.908</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-.231</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.084</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-.056</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rPr>
                <w:rFonts w:eastAsia="Times New Roman" w:cs="Arial"/>
                <w:sz w:val="20"/>
                <w:szCs w:val="20"/>
                <w:lang w:val="en-GB"/>
              </w:rPr>
            </w:pPr>
            <w:r w:rsidRPr="00D25998">
              <w:rPr>
                <w:rFonts w:eastAsia="Times New Roman" w:cs="Arial"/>
                <w:sz w:val="20"/>
                <w:szCs w:val="20"/>
                <w:lang w:val="en-GB"/>
              </w:rPr>
              <w:t xml:space="preserve">Percentage of </w:t>
            </w:r>
            <w:proofErr w:type="spellStart"/>
            <w:r w:rsidRPr="00D25998">
              <w:rPr>
                <w:rFonts w:eastAsia="Times New Roman" w:cs="Arial"/>
                <w:sz w:val="20"/>
                <w:szCs w:val="20"/>
                <w:lang w:val="en-GB"/>
              </w:rPr>
              <w:t>Histosols</w:t>
            </w:r>
            <w:proofErr w:type="spellEnd"/>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-.079</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-.321</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.821</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-.044</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tabs>
                <w:tab w:val="center" w:pos="4680"/>
                <w:tab w:val="right" w:pos="9360"/>
              </w:tabs>
              <w:rPr>
                <w:rFonts w:eastAsia="Times New Roman" w:cs="Arial"/>
                <w:sz w:val="20"/>
                <w:szCs w:val="20"/>
                <w:lang w:val="en-GB"/>
              </w:rPr>
            </w:pPr>
            <w:r w:rsidRPr="00D25998">
              <w:rPr>
                <w:rFonts w:eastAsia="Times New Roman" w:cs="Arial"/>
                <w:sz w:val="20"/>
                <w:szCs w:val="20"/>
                <w:lang w:val="en-GB"/>
              </w:rPr>
              <w:t>Slope</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.112</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.029</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-.130</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.162</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tabs>
                <w:tab w:val="center" w:pos="4680"/>
                <w:tab w:val="right" w:pos="9360"/>
              </w:tabs>
              <w:rPr>
                <w:rFonts w:eastAsia="Times New Roman" w:cs="Arial"/>
                <w:sz w:val="20"/>
                <w:szCs w:val="20"/>
                <w:lang w:val="en-GB"/>
              </w:rPr>
            </w:pPr>
            <w:r w:rsidRPr="00D25998">
              <w:rPr>
                <w:rFonts w:eastAsia="Times New Roman" w:cs="Arial"/>
                <w:sz w:val="20"/>
                <w:szCs w:val="20"/>
                <w:lang w:val="en-GB"/>
              </w:rPr>
              <w:t>Market accessibility</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.377</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.757</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.087</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.211</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tabs>
                <w:tab w:val="center" w:pos="4680"/>
                <w:tab w:val="right" w:pos="9360"/>
              </w:tabs>
              <w:rPr>
                <w:rFonts w:eastAsia="Times New Roman" w:cs="Arial"/>
                <w:sz w:val="20"/>
                <w:szCs w:val="20"/>
                <w:lang w:val="en-GB"/>
              </w:rPr>
            </w:pPr>
            <w:r w:rsidRPr="00D25998">
              <w:rPr>
                <w:rFonts w:eastAsia="Times New Roman" w:cs="Arial"/>
                <w:sz w:val="20"/>
                <w:szCs w:val="20"/>
                <w:lang w:val="en-GB"/>
              </w:rPr>
              <w:t>Market influence</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.540</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.681</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.089</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-.073</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tabs>
                <w:tab w:val="center" w:pos="4680"/>
                <w:tab w:val="right" w:pos="9360"/>
              </w:tabs>
              <w:rPr>
                <w:rFonts w:eastAsia="Times New Roman" w:cs="Arial"/>
                <w:sz w:val="20"/>
                <w:szCs w:val="20"/>
                <w:lang w:val="en-GB"/>
              </w:rPr>
            </w:pPr>
            <w:r w:rsidRPr="00D25998">
              <w:rPr>
                <w:rFonts w:eastAsia="Times New Roman" w:cs="Arial"/>
                <w:sz w:val="20"/>
                <w:szCs w:val="20"/>
                <w:lang w:val="en-GB"/>
              </w:rPr>
              <w:t>Built-up area</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.259</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.452</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.028</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.611</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13550A">
            <w:pPr>
              <w:rPr>
                <w:rFonts w:eastAsia="Times New Roman" w:cs="Arial"/>
                <w:sz w:val="20"/>
                <w:szCs w:val="20"/>
                <w:lang w:val="en-GB"/>
              </w:rPr>
            </w:pPr>
            <w:r w:rsidRPr="00D25998">
              <w:rPr>
                <w:rFonts w:eastAsia="Times New Roman" w:cs="Arial"/>
                <w:sz w:val="20"/>
                <w:szCs w:val="20"/>
                <w:lang w:val="en-GB"/>
              </w:rPr>
              <w:t xml:space="preserve">Population density </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.016</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.411</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.021</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.489</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13550A">
            <w:pPr>
              <w:rPr>
                <w:rFonts w:eastAsia="Times New Roman" w:cs="Arial"/>
                <w:sz w:val="20"/>
                <w:szCs w:val="20"/>
                <w:lang w:val="en-GB"/>
              </w:rPr>
            </w:pPr>
            <w:r w:rsidRPr="00D25998">
              <w:rPr>
                <w:rFonts w:eastAsia="Times New Roman" w:cs="Arial"/>
                <w:sz w:val="20"/>
                <w:szCs w:val="20"/>
                <w:lang w:val="en-GB"/>
              </w:rPr>
              <w:t xml:space="preserve">Cropland area </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-.133</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.611</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.169</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-.589</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rPr>
                <w:rFonts w:eastAsia="Times New Roman" w:cs="Arial"/>
                <w:sz w:val="20"/>
                <w:szCs w:val="20"/>
                <w:lang w:val="en-GB"/>
              </w:rPr>
            </w:pPr>
            <w:r w:rsidRPr="00D25998">
              <w:rPr>
                <w:rFonts w:eastAsia="Times New Roman" w:cs="Arial"/>
                <w:sz w:val="20"/>
                <w:szCs w:val="20"/>
                <w:lang w:val="en-GB"/>
              </w:rPr>
              <w:t>Efficiency of agricultural production</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-.098</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.593</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.213</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-.623</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rPr>
                <w:rFonts w:eastAsia="Times New Roman" w:cs="Arial"/>
                <w:sz w:val="20"/>
                <w:szCs w:val="20"/>
                <w:lang w:val="en-GB"/>
              </w:rPr>
            </w:pPr>
            <w:r w:rsidRPr="00D25998">
              <w:rPr>
                <w:rFonts w:eastAsia="Times New Roman" w:cs="Arial"/>
                <w:sz w:val="20"/>
                <w:szCs w:val="20"/>
                <w:lang w:val="en-GB"/>
              </w:rPr>
              <w:t>Soil organic content</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-.035</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-.297</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.834</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-.059</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rPr>
                <w:rFonts w:eastAsia="Times New Roman" w:cs="Arial"/>
                <w:sz w:val="20"/>
                <w:szCs w:val="20"/>
                <w:lang w:val="en-GB"/>
              </w:rPr>
            </w:pPr>
            <w:r w:rsidRPr="00D25998">
              <w:rPr>
                <w:rFonts w:eastAsia="Times New Roman" w:cs="Arial"/>
                <w:sz w:val="20"/>
                <w:szCs w:val="20"/>
                <w:lang w:val="en-GB"/>
              </w:rPr>
              <w:t>Precipitation</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-.133</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.224</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.544</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.283</w:t>
            </w:r>
          </w:p>
        </w:tc>
      </w:tr>
      <w:tr w:rsidR="009B5638" w:rsidRPr="00D25998" w:rsidTr="00787248">
        <w:trPr>
          <w:trHeight w:val="255"/>
        </w:trPr>
        <w:tc>
          <w:tcPr>
            <w:tcW w:w="3525" w:type="dxa"/>
            <w:tcBorders>
              <w:top w:val="nil"/>
              <w:left w:val="nil"/>
              <w:bottom w:val="nil"/>
              <w:right w:val="single" w:sz="4" w:space="0" w:color="auto"/>
            </w:tcBorders>
            <w:shd w:val="clear" w:color="auto" w:fill="auto"/>
            <w:noWrap/>
            <w:vAlign w:val="bottom"/>
            <w:hideMark/>
          </w:tcPr>
          <w:p w:rsidR="009B5638" w:rsidRPr="00D25998" w:rsidRDefault="009B5638" w:rsidP="00787248">
            <w:pPr>
              <w:rPr>
                <w:rFonts w:eastAsia="Times New Roman" w:cs="Arial"/>
                <w:sz w:val="20"/>
                <w:szCs w:val="20"/>
                <w:lang w:val="en-GB"/>
              </w:rPr>
            </w:pPr>
            <w:r w:rsidRPr="00D25998">
              <w:rPr>
                <w:rFonts w:eastAsia="Times New Roman" w:cs="Arial"/>
                <w:sz w:val="20"/>
                <w:szCs w:val="20"/>
                <w:lang w:val="en-GB"/>
              </w:rPr>
              <w:t>Temperature</w:t>
            </w:r>
          </w:p>
        </w:tc>
        <w:tc>
          <w:tcPr>
            <w:tcW w:w="1025" w:type="dxa"/>
            <w:tcBorders>
              <w:top w:val="nil"/>
              <w:left w:val="single" w:sz="4" w:space="0" w:color="auto"/>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-.254</w:t>
            </w:r>
          </w:p>
        </w:tc>
        <w:tc>
          <w:tcPr>
            <w:tcW w:w="1025"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.436</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.454</w:t>
            </w:r>
          </w:p>
        </w:tc>
        <w:tc>
          <w:tcPr>
            <w:tcW w:w="1026" w:type="dxa"/>
            <w:tcBorders>
              <w:top w:val="nil"/>
              <w:left w:val="nil"/>
              <w:bottom w:val="nil"/>
              <w:right w:val="nil"/>
            </w:tcBorders>
            <w:shd w:val="clear" w:color="auto" w:fill="auto"/>
            <w:noWrap/>
            <w:vAlign w:val="center"/>
            <w:hideMark/>
          </w:tcPr>
          <w:p w:rsidR="009B5638" w:rsidRPr="009B5638" w:rsidRDefault="009B5638" w:rsidP="009B5638">
            <w:pPr>
              <w:rPr>
                <w:rFonts w:eastAsia="Times New Roman" w:cs="Arial"/>
                <w:sz w:val="20"/>
                <w:szCs w:val="20"/>
                <w:lang w:val="en-GB"/>
              </w:rPr>
            </w:pPr>
            <w:r w:rsidRPr="009B5638">
              <w:rPr>
                <w:rFonts w:eastAsia="Times New Roman" w:cs="Arial"/>
                <w:sz w:val="20"/>
                <w:szCs w:val="20"/>
                <w:lang w:val="en-GB"/>
              </w:rPr>
              <w:t>.222</w:t>
            </w:r>
          </w:p>
        </w:tc>
      </w:tr>
    </w:tbl>
    <w:p w:rsidR="003F3A46" w:rsidRDefault="003F3A46" w:rsidP="003F3A46"/>
    <w:p w:rsidR="003F3A46" w:rsidRDefault="003F3A46" w:rsidP="003F3A46"/>
    <w:p w:rsidR="003F3A46" w:rsidRDefault="003F3A46" w:rsidP="003F3A46"/>
    <w:p w:rsidR="003F3A46" w:rsidRDefault="003F3A46" w:rsidP="003F3A46"/>
    <w:p w:rsidR="003F3A46" w:rsidRDefault="003F3A46" w:rsidP="003F3A46"/>
    <w:p w:rsidR="003F3A46" w:rsidRDefault="003F3A46" w:rsidP="003F3A46"/>
    <w:p w:rsidR="003F3A46" w:rsidRDefault="003F3A46" w:rsidP="003F3A46"/>
    <w:p w:rsidR="003F3A46" w:rsidRDefault="003F3A46" w:rsidP="003F3A46"/>
    <w:p w:rsidR="003F3A46" w:rsidRPr="00822FE4" w:rsidRDefault="003F3A46" w:rsidP="00822FE4">
      <w:pPr>
        <w:spacing w:line="360" w:lineRule="auto"/>
        <w:jc w:val="both"/>
        <w:rPr>
          <w:rFonts w:ascii="Calibri" w:eastAsia="Times New Roman" w:hAnsi="Calibri" w:cs="Times New Roman"/>
          <w:lang w:val="en-GB"/>
        </w:rPr>
      </w:pPr>
    </w:p>
    <w:p w:rsidR="00AD6A41" w:rsidRDefault="00B248AC"/>
    <w:sectPr w:rsidR="00AD6A41" w:rsidSect="0080799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8AC" w:rsidRDefault="00B248AC" w:rsidP="00822FE4">
      <w:r>
        <w:separator/>
      </w:r>
    </w:p>
  </w:endnote>
  <w:endnote w:type="continuationSeparator" w:id="0">
    <w:p w:rsidR="00B248AC" w:rsidRDefault="00B248AC" w:rsidP="00822F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8AC" w:rsidRDefault="00B248AC" w:rsidP="00822FE4">
      <w:r>
        <w:separator/>
      </w:r>
    </w:p>
  </w:footnote>
  <w:footnote w:type="continuationSeparator" w:id="0">
    <w:p w:rsidR="00B248AC" w:rsidRDefault="00B248AC" w:rsidP="00822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E4" w:rsidRPr="00822FE4" w:rsidRDefault="00822FE4" w:rsidP="005C193F">
    <w:pPr>
      <w:pStyle w:val="Koptekst"/>
      <w:jc w:val="center"/>
      <w:rPr>
        <w:sz w:val="20"/>
        <w:szCs w:val="20"/>
      </w:rPr>
    </w:pPr>
    <w:r w:rsidRPr="00822FE4">
      <w:rPr>
        <w:sz w:val="20"/>
        <w:szCs w:val="20"/>
        <w:lang w:val="en-GB"/>
      </w:rPr>
      <w:t>Drivers of wetland conversion: a global meta-analysis</w:t>
    </w:r>
  </w:p>
  <w:p w:rsidR="00822FE4" w:rsidRDefault="00822FE4">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2FE4"/>
    <w:rsid w:val="0013550A"/>
    <w:rsid w:val="001A55D0"/>
    <w:rsid w:val="002015FE"/>
    <w:rsid w:val="00271AB9"/>
    <w:rsid w:val="003F3A46"/>
    <w:rsid w:val="00415935"/>
    <w:rsid w:val="0044388B"/>
    <w:rsid w:val="005C193F"/>
    <w:rsid w:val="005E656E"/>
    <w:rsid w:val="00667781"/>
    <w:rsid w:val="007758C1"/>
    <w:rsid w:val="00807999"/>
    <w:rsid w:val="00822FE4"/>
    <w:rsid w:val="009637E8"/>
    <w:rsid w:val="009B5638"/>
    <w:rsid w:val="009B691E"/>
    <w:rsid w:val="00A0568A"/>
    <w:rsid w:val="00B140CB"/>
    <w:rsid w:val="00B248AC"/>
    <w:rsid w:val="00B57236"/>
    <w:rsid w:val="00BA0B1F"/>
    <w:rsid w:val="00CA5069"/>
    <w:rsid w:val="00D14FE2"/>
    <w:rsid w:val="00E80B19"/>
    <w:rsid w:val="00E916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2FE4"/>
    <w:pPr>
      <w:spacing w:after="0" w:line="240" w:lineRule="auto"/>
    </w:pPr>
    <w:rPr>
      <w:rFonts w:eastAsiaTheme="minorEastAsia"/>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2FE4"/>
    <w:pPr>
      <w:tabs>
        <w:tab w:val="center" w:pos="4536"/>
        <w:tab w:val="right" w:pos="9072"/>
      </w:tabs>
    </w:pPr>
  </w:style>
  <w:style w:type="character" w:customStyle="1" w:styleId="KoptekstChar">
    <w:name w:val="Koptekst Char"/>
    <w:basedOn w:val="Standaardalinea-lettertype"/>
    <w:link w:val="Koptekst"/>
    <w:uiPriority w:val="99"/>
    <w:rsid w:val="00822FE4"/>
    <w:rPr>
      <w:rFonts w:eastAsiaTheme="minorEastAsia"/>
      <w:lang w:val="en-US" w:eastAsia="zh-CN"/>
    </w:rPr>
  </w:style>
  <w:style w:type="paragraph" w:styleId="Voettekst">
    <w:name w:val="footer"/>
    <w:basedOn w:val="Standaard"/>
    <w:link w:val="VoettekstChar"/>
    <w:uiPriority w:val="99"/>
    <w:semiHidden/>
    <w:unhideWhenUsed/>
    <w:rsid w:val="00822FE4"/>
    <w:pPr>
      <w:tabs>
        <w:tab w:val="center" w:pos="4536"/>
        <w:tab w:val="right" w:pos="9072"/>
      </w:tabs>
    </w:pPr>
  </w:style>
  <w:style w:type="character" w:customStyle="1" w:styleId="VoettekstChar">
    <w:name w:val="Voettekst Char"/>
    <w:basedOn w:val="Standaardalinea-lettertype"/>
    <w:link w:val="Voettekst"/>
    <w:uiPriority w:val="99"/>
    <w:semiHidden/>
    <w:rsid w:val="00822FE4"/>
    <w:rPr>
      <w:rFonts w:eastAsiaTheme="minorEastAsia"/>
      <w:lang w:val="en-US" w:eastAsia="zh-CN"/>
    </w:rPr>
  </w:style>
  <w:style w:type="paragraph" w:styleId="Ballontekst">
    <w:name w:val="Balloon Text"/>
    <w:basedOn w:val="Standaard"/>
    <w:link w:val="BallontekstChar"/>
    <w:uiPriority w:val="99"/>
    <w:semiHidden/>
    <w:unhideWhenUsed/>
    <w:rsid w:val="00822FE4"/>
    <w:rPr>
      <w:rFonts w:ascii="Tahoma" w:hAnsi="Tahoma" w:cs="Tahoma"/>
      <w:sz w:val="16"/>
      <w:szCs w:val="16"/>
    </w:rPr>
  </w:style>
  <w:style w:type="character" w:customStyle="1" w:styleId="BallontekstChar">
    <w:name w:val="Ballontekst Char"/>
    <w:basedOn w:val="Standaardalinea-lettertype"/>
    <w:link w:val="Ballontekst"/>
    <w:uiPriority w:val="99"/>
    <w:semiHidden/>
    <w:rsid w:val="00822FE4"/>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357</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Sanneke</dc:creator>
  <cp:lastModifiedBy>Sanneke</cp:lastModifiedBy>
  <cp:revision>7</cp:revision>
  <dcterms:created xsi:type="dcterms:W3CDTF">2013-07-26T07:02:00Z</dcterms:created>
  <dcterms:modified xsi:type="dcterms:W3CDTF">2013-07-26T14:58:00Z</dcterms:modified>
</cp:coreProperties>
</file>