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29" w:rsidRDefault="00814F29" w:rsidP="00814F29">
      <w:pPr>
        <w:pStyle w:val="Heading1"/>
        <w:spacing w:line="360" w:lineRule="auto"/>
      </w:pPr>
      <w:bookmarkStart w:id="0" w:name="_Toc332195692"/>
      <w:r w:rsidRPr="00A55068">
        <w:t xml:space="preserve">Appendix </w:t>
      </w:r>
      <w:r>
        <w:t>S</w:t>
      </w:r>
      <w:r w:rsidR="00E2507A">
        <w:t>3</w:t>
      </w:r>
      <w:bookmarkStart w:id="1" w:name="_GoBack"/>
      <w:bookmarkEnd w:id="1"/>
      <w:r>
        <w:t>:</w:t>
      </w:r>
      <w:r w:rsidRPr="003B6A6D">
        <w:t xml:space="preserve"> </w:t>
      </w:r>
      <w:r w:rsidRPr="000C1B47">
        <w:t>Calculating population coverage</w:t>
      </w:r>
      <w:bookmarkEnd w:id="0"/>
    </w:p>
    <w:p w:rsidR="00814F29" w:rsidRDefault="00814F29" w:rsidP="00814F29">
      <w:pPr>
        <w:spacing w:after="0" w:line="360" w:lineRule="auto"/>
        <w:contextualSpacing/>
        <w:jc w:val="both"/>
        <w:rPr>
          <w:rFonts w:asciiTheme="minorHAnsi" w:hAnsiTheme="minorHAnsi" w:cstheme="minorHAnsi"/>
        </w:rPr>
      </w:pPr>
      <w:r w:rsidRPr="000A0DC9">
        <w:rPr>
          <w:rFonts w:asciiTheme="minorHAnsi" w:hAnsiTheme="minorHAnsi" w:cstheme="minorHAnsi"/>
        </w:rPr>
        <w:t xml:space="preserve">Estimates of regional coverage for data were calculated by </w:t>
      </w:r>
      <w:r>
        <w:rPr>
          <w:rFonts w:asciiTheme="minorHAnsi" w:hAnsiTheme="minorHAnsi" w:cstheme="minorHAnsi"/>
        </w:rPr>
        <w:t>a</w:t>
      </w:r>
      <w:r w:rsidRPr="000A0DC9">
        <w:rPr>
          <w:rFonts w:asciiTheme="minorHAnsi" w:hAnsiTheme="minorHAnsi" w:cstheme="minorHAnsi"/>
        </w:rPr>
        <w:t xml:space="preserve">ggregating the available prevalence data </w:t>
      </w:r>
      <w:r>
        <w:rPr>
          <w:rFonts w:asciiTheme="minorHAnsi" w:hAnsiTheme="minorHAnsi" w:cstheme="minorHAnsi"/>
        </w:rPr>
        <w:t xml:space="preserve">for those aged 18-80 years, </w:t>
      </w:r>
      <w:r w:rsidRPr="000A0DC9">
        <w:rPr>
          <w:rFonts w:asciiTheme="minorHAnsi" w:hAnsiTheme="minorHAnsi" w:cstheme="minorHAnsi"/>
        </w:rPr>
        <w:t>by disorder, country and GBD region. As our inclusion criteria required that study samples must be able to be generaliz</w:t>
      </w:r>
      <w:r>
        <w:rPr>
          <w:rFonts w:asciiTheme="minorHAnsi" w:hAnsiTheme="minorHAnsi" w:cstheme="minorHAnsi"/>
        </w:rPr>
        <w:t>able</w:t>
      </w:r>
      <w:r w:rsidRPr="000A0DC9">
        <w:rPr>
          <w:rFonts w:asciiTheme="minorHAnsi" w:hAnsiTheme="minorHAnsi" w:cstheme="minorHAnsi"/>
        </w:rPr>
        <w:t xml:space="preserve"> to the population, we assumed that </w:t>
      </w:r>
      <w:r>
        <w:rPr>
          <w:rFonts w:asciiTheme="minorHAnsi" w:hAnsiTheme="minorHAnsi" w:cstheme="minorHAnsi"/>
        </w:rPr>
        <w:t xml:space="preserve">study </w:t>
      </w:r>
      <w:r w:rsidRPr="000A0DC9">
        <w:rPr>
          <w:rFonts w:asciiTheme="minorHAnsi" w:hAnsiTheme="minorHAnsi" w:cstheme="minorHAnsi"/>
        </w:rPr>
        <w:t xml:space="preserve">age groups were representative of </w:t>
      </w:r>
      <w:r>
        <w:rPr>
          <w:rFonts w:asciiTheme="minorHAnsi" w:hAnsiTheme="minorHAnsi" w:cstheme="minorHAnsi"/>
        </w:rPr>
        <w:t xml:space="preserve">that age group within the largest geographical area represented in the </w:t>
      </w:r>
      <w:r w:rsidRPr="000A0DC9">
        <w:rPr>
          <w:rFonts w:asciiTheme="minorHAnsi" w:hAnsiTheme="minorHAnsi" w:cstheme="minorHAnsi"/>
        </w:rPr>
        <w:t xml:space="preserve">country. </w:t>
      </w:r>
    </w:p>
    <w:p w:rsidR="00814F29" w:rsidRDefault="00814F29" w:rsidP="00814F29">
      <w:pPr>
        <w:spacing w:after="0" w:line="360" w:lineRule="auto"/>
        <w:contextualSpacing/>
        <w:jc w:val="both"/>
        <w:rPr>
          <w:rFonts w:asciiTheme="minorHAnsi" w:hAnsiTheme="minorHAnsi" w:cstheme="minorHAnsi"/>
        </w:rPr>
      </w:pPr>
    </w:p>
    <w:p w:rsidR="00814F29" w:rsidRDefault="00814F29" w:rsidP="00814F29">
      <w:pPr>
        <w:spacing w:after="0" w:line="360" w:lineRule="auto"/>
        <w:contextualSpacing/>
        <w:jc w:val="both"/>
        <w:rPr>
          <w:rFonts w:asciiTheme="minorHAnsi" w:hAnsiTheme="minorHAnsi" w:cstheme="minorHAnsi"/>
        </w:rPr>
      </w:pPr>
      <w:r>
        <w:rPr>
          <w:rFonts w:asciiTheme="minorHAnsi" w:hAnsiTheme="minorHAnsi" w:cstheme="minorHAnsi"/>
        </w:rPr>
        <w:t xml:space="preserve">For example, where a country had two studies, with age groups ranging between 5-24 years and 16-65 years, the </w:t>
      </w:r>
      <w:proofErr w:type="gramStart"/>
      <w:r>
        <w:rPr>
          <w:rFonts w:asciiTheme="minorHAnsi" w:hAnsiTheme="minorHAnsi" w:cstheme="minorHAnsi"/>
        </w:rPr>
        <w:t>population represented within the data for that country were</w:t>
      </w:r>
      <w:proofErr w:type="gramEnd"/>
      <w:r>
        <w:rPr>
          <w:rFonts w:asciiTheme="minorHAnsi" w:hAnsiTheme="minorHAnsi" w:cstheme="minorHAnsi"/>
        </w:rPr>
        <w:t xml:space="preserve"> those aged 18-65 years.  Therefore</w:t>
      </w:r>
      <w:r w:rsidRPr="000A0DC9">
        <w:rPr>
          <w:rFonts w:asciiTheme="minorHAnsi" w:hAnsiTheme="minorHAnsi" w:cstheme="minorHAnsi"/>
        </w:rPr>
        <w:t xml:space="preserve"> the first step was to calculate the proportion of the national population that was represented in the data based on the age groups covered in studies for that disorder. If studies for that country included only males or females, the national coverage was adjusted </w:t>
      </w:r>
      <w:r>
        <w:rPr>
          <w:rFonts w:asciiTheme="minorHAnsi" w:hAnsiTheme="minorHAnsi" w:cstheme="minorHAnsi"/>
        </w:rPr>
        <w:t>by the</w:t>
      </w:r>
      <w:r w:rsidRPr="000A0DC9">
        <w:rPr>
          <w:rFonts w:asciiTheme="minorHAnsi" w:hAnsiTheme="minorHAnsi" w:cstheme="minorHAnsi"/>
        </w:rPr>
        <w:t xml:space="preserve"> </w:t>
      </w:r>
      <w:r>
        <w:rPr>
          <w:rFonts w:asciiTheme="minorHAnsi" w:hAnsiTheme="minorHAnsi" w:cstheme="minorHAnsi"/>
        </w:rPr>
        <w:t xml:space="preserve">limited </w:t>
      </w:r>
      <w:r w:rsidRPr="000A0DC9">
        <w:rPr>
          <w:rFonts w:asciiTheme="minorHAnsi" w:hAnsiTheme="minorHAnsi" w:cstheme="minorHAnsi"/>
        </w:rPr>
        <w:t>gender composition. Next, the national coverage was adjusted for geographical limitations of the data. For example, where a national study was conducted, the data were considered to be representative of the national population within the specific age groups covered by the data. If no national study w</w:t>
      </w:r>
      <w:r>
        <w:rPr>
          <w:rFonts w:asciiTheme="minorHAnsi" w:hAnsiTheme="minorHAnsi" w:cstheme="minorHAnsi"/>
        </w:rPr>
        <w:t>as</w:t>
      </w:r>
      <w:r w:rsidRPr="000A0DC9">
        <w:rPr>
          <w:rFonts w:asciiTheme="minorHAnsi" w:hAnsiTheme="minorHAnsi" w:cstheme="minorHAnsi"/>
        </w:rPr>
        <w:t xml:space="preserve"> found, but several were conducted in various regions or provinces, the </w:t>
      </w:r>
      <w:r>
        <w:rPr>
          <w:rFonts w:asciiTheme="minorHAnsi" w:hAnsiTheme="minorHAnsi" w:cstheme="minorHAnsi"/>
        </w:rPr>
        <w:t xml:space="preserve">country coverage </w:t>
      </w:r>
      <w:proofErr w:type="gramStart"/>
      <w:r>
        <w:rPr>
          <w:rFonts w:asciiTheme="minorHAnsi" w:hAnsiTheme="minorHAnsi" w:cstheme="minorHAnsi"/>
        </w:rPr>
        <w:t>were</w:t>
      </w:r>
      <w:proofErr w:type="gramEnd"/>
      <w:r>
        <w:rPr>
          <w:rFonts w:asciiTheme="minorHAnsi" w:hAnsiTheme="minorHAnsi" w:cstheme="minorHAnsi"/>
        </w:rPr>
        <w:t xml:space="preserve"> adjusted by the proportional </w:t>
      </w:r>
      <w:r w:rsidRPr="000A0DC9">
        <w:rPr>
          <w:rFonts w:asciiTheme="minorHAnsi" w:hAnsiTheme="minorHAnsi" w:cstheme="minorHAnsi"/>
        </w:rPr>
        <w:t>population</w:t>
      </w:r>
      <w:r>
        <w:rPr>
          <w:rFonts w:asciiTheme="minorHAnsi" w:hAnsiTheme="minorHAnsi" w:cstheme="minorHAnsi"/>
        </w:rPr>
        <w:t xml:space="preserve"> </w:t>
      </w:r>
      <w:r w:rsidRPr="000A0DC9">
        <w:rPr>
          <w:rFonts w:asciiTheme="minorHAnsi" w:hAnsiTheme="minorHAnsi" w:cstheme="minorHAnsi"/>
        </w:rPr>
        <w:t>for those provinces</w:t>
      </w:r>
      <w:r>
        <w:rPr>
          <w:rFonts w:asciiTheme="minorHAnsi" w:hAnsiTheme="minorHAnsi" w:cstheme="minorHAnsi"/>
        </w:rPr>
        <w:t xml:space="preserve">. </w:t>
      </w:r>
      <w:r w:rsidRPr="000A0DC9">
        <w:rPr>
          <w:rFonts w:asciiTheme="minorHAnsi" w:hAnsiTheme="minorHAnsi" w:cstheme="minorHAnsi"/>
        </w:rPr>
        <w:t xml:space="preserve"> </w:t>
      </w:r>
    </w:p>
    <w:p w:rsidR="00814F29" w:rsidRDefault="00814F29" w:rsidP="00814F29">
      <w:pPr>
        <w:spacing w:after="0" w:line="360" w:lineRule="auto"/>
        <w:contextualSpacing/>
        <w:jc w:val="both"/>
        <w:rPr>
          <w:rFonts w:asciiTheme="minorHAnsi" w:hAnsiTheme="minorHAnsi" w:cstheme="minorHAnsi"/>
        </w:rPr>
      </w:pPr>
    </w:p>
    <w:p w:rsidR="00814F29" w:rsidRDefault="00814F29" w:rsidP="00814F29">
      <w:pPr>
        <w:spacing w:after="0" w:line="360" w:lineRule="auto"/>
        <w:contextualSpacing/>
        <w:jc w:val="both"/>
        <w:rPr>
          <w:rFonts w:asciiTheme="minorHAnsi" w:hAnsiTheme="minorHAnsi" w:cstheme="minorHAnsi"/>
        </w:rPr>
      </w:pPr>
      <w:r>
        <w:rPr>
          <w:rFonts w:asciiTheme="minorHAnsi" w:hAnsiTheme="minorHAnsi" w:cstheme="minorHAnsi"/>
        </w:rPr>
        <w:t xml:space="preserve">Once estimates for national coverage were arrived at, these were weighted by the population of the country relative to the population of the GBD region and summed to arrive at an estimate for regional coverage. </w:t>
      </w:r>
      <w:r w:rsidRPr="000A0DC9">
        <w:rPr>
          <w:rFonts w:asciiTheme="minorHAnsi" w:hAnsiTheme="minorHAnsi" w:cstheme="minorHAnsi"/>
        </w:rPr>
        <w:t>All estimates were calculated with Microsoft Excel.</w:t>
      </w:r>
    </w:p>
    <w:p w:rsidR="00814F29" w:rsidRDefault="00814F29" w:rsidP="00814F29">
      <w:pPr>
        <w:spacing w:after="0" w:line="360" w:lineRule="auto"/>
        <w:contextualSpacing/>
        <w:jc w:val="both"/>
        <w:rPr>
          <w:rFonts w:asciiTheme="minorHAnsi" w:hAnsiTheme="minorHAnsi" w:cstheme="minorHAnsi"/>
        </w:rPr>
      </w:pPr>
    </w:p>
    <w:p w:rsidR="00814F29" w:rsidRDefault="00814F29" w:rsidP="00814F29">
      <w:pPr>
        <w:spacing w:after="120" w:line="360" w:lineRule="auto"/>
        <w:contextualSpacing/>
        <w:jc w:val="both"/>
        <w:rPr>
          <w:rFonts w:asciiTheme="minorHAnsi" w:hAnsiTheme="minorHAnsi" w:cstheme="minorHAnsi"/>
          <w:u w:val="single"/>
        </w:rPr>
      </w:pPr>
    </w:p>
    <w:p w:rsidR="00814F29" w:rsidRDefault="00814F29" w:rsidP="00814F29">
      <w:pPr>
        <w:spacing w:after="120" w:line="360" w:lineRule="auto"/>
        <w:contextualSpacing/>
        <w:jc w:val="both"/>
        <w:rPr>
          <w:rFonts w:asciiTheme="minorHAnsi" w:hAnsiTheme="minorHAnsi" w:cstheme="minorHAnsi"/>
          <w:u w:val="single"/>
        </w:rPr>
      </w:pPr>
      <w:proofErr w:type="gramStart"/>
      <w:r w:rsidRPr="00A21914">
        <w:rPr>
          <w:rFonts w:asciiTheme="minorHAnsi" w:hAnsiTheme="minorHAnsi" w:cstheme="minorHAnsi"/>
          <w:u w:val="single"/>
        </w:rPr>
        <w:t>Example 1.</w:t>
      </w:r>
      <w:proofErr w:type="gramEnd"/>
      <w:r w:rsidRPr="00A21914">
        <w:rPr>
          <w:rFonts w:asciiTheme="minorHAnsi" w:hAnsiTheme="minorHAnsi" w:cstheme="minorHAnsi"/>
          <w:u w:val="single"/>
        </w:rPr>
        <w:t xml:space="preserve"> National studies:</w:t>
      </w:r>
    </w:p>
    <w:p w:rsidR="00814F29" w:rsidRPr="00A21914" w:rsidRDefault="00814F29" w:rsidP="00814F29">
      <w:pPr>
        <w:spacing w:after="120" w:line="360" w:lineRule="auto"/>
        <w:contextualSpacing/>
        <w:jc w:val="both"/>
        <w:rPr>
          <w:rFonts w:asciiTheme="minorHAnsi" w:hAnsiTheme="minorHAnsi" w:cstheme="minorHAnsi"/>
          <w:u w:val="single"/>
        </w:rPr>
      </w:pPr>
    </w:p>
    <w:p w:rsidR="00814F29" w:rsidRDefault="00814F29" w:rsidP="00814F29">
      <w:pPr>
        <w:spacing w:after="0" w:line="360" w:lineRule="auto"/>
        <w:contextualSpacing/>
        <w:jc w:val="both"/>
        <w:rPr>
          <w:rFonts w:asciiTheme="minorHAnsi" w:hAnsiTheme="minorHAnsi" w:cstheme="minorHAnsi"/>
        </w:rPr>
      </w:pPr>
      <w:r>
        <w:rPr>
          <w:rFonts w:asciiTheme="minorHAnsi" w:hAnsiTheme="minorHAnsi" w:cstheme="minorHAnsi"/>
        </w:rPr>
        <w:t xml:space="preserve">In </w:t>
      </w:r>
      <w:r w:rsidRPr="00C75A7F">
        <w:rPr>
          <w:rFonts w:asciiTheme="minorHAnsi" w:hAnsiTheme="minorHAnsi" w:cstheme="minorHAnsi"/>
        </w:rPr>
        <w:t xml:space="preserve">High Income Asia Pacific </w:t>
      </w:r>
      <w:r>
        <w:rPr>
          <w:rFonts w:asciiTheme="minorHAnsi" w:hAnsiTheme="minorHAnsi" w:cstheme="minorHAnsi"/>
        </w:rPr>
        <w:t xml:space="preserve">there were 2 prevalence studies for anxiety </w:t>
      </w:r>
      <w:proofErr w:type="gramStart"/>
      <w:r>
        <w:rPr>
          <w:rFonts w:asciiTheme="minorHAnsi" w:hAnsiTheme="minorHAnsi" w:cstheme="minorHAnsi"/>
        </w:rPr>
        <w:t>disorders :</w:t>
      </w:r>
      <w:proofErr w:type="gramEnd"/>
    </w:p>
    <w:p w:rsidR="00814F29" w:rsidRPr="000B7129" w:rsidRDefault="00814F29" w:rsidP="00814F29">
      <w:pPr>
        <w:pStyle w:val="ListParagraph"/>
        <w:numPr>
          <w:ilvl w:val="0"/>
          <w:numId w:val="2"/>
        </w:numPr>
        <w:spacing w:after="120" w:line="360" w:lineRule="auto"/>
        <w:ind w:left="714" w:hanging="357"/>
        <w:jc w:val="both"/>
        <w:rPr>
          <w:rFonts w:asciiTheme="minorHAnsi" w:hAnsiTheme="minorHAnsi" w:cstheme="minorHAnsi"/>
        </w:rPr>
      </w:pPr>
      <w:r w:rsidRPr="000B7129">
        <w:rPr>
          <w:rFonts w:asciiTheme="minorHAnsi" w:hAnsiTheme="minorHAnsi" w:cstheme="minorHAnsi"/>
        </w:rPr>
        <w:t xml:space="preserve">A national Japan study for men and women aged 20 years of age and more </w:t>
      </w:r>
      <w:r>
        <w:rPr>
          <w:rFonts w:asciiTheme="minorHAnsi" w:hAnsiTheme="minorHAnsi" w:cstheme="minorHAnsi"/>
        </w:rPr>
        <w:fldChar w:fldCharType="begin"/>
      </w:r>
      <w:r>
        <w:rPr>
          <w:rFonts w:asciiTheme="minorHAnsi" w:hAnsiTheme="minorHAnsi" w:cstheme="minorHAnsi"/>
        </w:rPr>
        <w:instrText xml:space="preserve"> ADDIN EN.CITE &lt;EndNote&gt;&lt;Cite&gt;&lt;Author&gt;World Health Organization&lt;/Author&gt;&lt;Year&gt;2008&lt;/Year&gt;&lt;RecNum&gt;1382&lt;/RecNum&gt;&lt;DisplayText&gt;[2]&lt;/DisplayText&gt;&lt;record&gt;&lt;rec-number&gt;1382&lt;/rec-number&gt;&lt;foreign-keys&gt;&lt;key app="EN" db-id="aadxpr9zrp5ww5ea05hpfw0cz99e5tf9faxv"&gt;1382&lt;/key&gt;&lt;/foreign-keys&gt;&lt;ref-type name="Unpublished Work"&gt;34&lt;/ref-type&gt;&lt;contributors&gt;&lt;authors&gt;&lt;author&gt;World Health Organization,&lt;/author&gt;&lt;/authors&gt;&lt;/contributors&gt;&lt;titles&gt;&lt;title&gt;World Mental Health Survey&lt;/title&gt;&lt;/titles&gt;&lt;dates&gt;&lt;year&gt;2008&lt;/year&gt;&lt;/dates&gt;&lt;publisher&gt;WHO&lt;/publisher&gt;&lt;urls&gt;&lt;pdf-urls&gt;&lt;url&gt;*&lt;/url&gt;&lt;/pdf-urls&gt;&lt;/urls&gt;&lt;research-notes&gt;Included: MDD prevalence&lt;/research-notes&gt;&lt;/record&gt;&lt;/Cite&gt;&lt;/EndNote&gt;</w:instrText>
      </w:r>
      <w:r>
        <w:rPr>
          <w:rFonts w:asciiTheme="minorHAnsi" w:hAnsiTheme="minorHAnsi" w:cstheme="minorHAnsi"/>
        </w:rPr>
        <w:fldChar w:fldCharType="separate"/>
      </w:r>
      <w:r>
        <w:rPr>
          <w:rFonts w:asciiTheme="minorHAnsi" w:hAnsiTheme="minorHAnsi" w:cstheme="minorHAnsi"/>
          <w:noProof/>
        </w:rPr>
        <w:t>[2]</w:t>
      </w:r>
      <w:r>
        <w:rPr>
          <w:rFonts w:asciiTheme="minorHAnsi" w:hAnsiTheme="minorHAnsi" w:cstheme="minorHAnsi"/>
        </w:rPr>
        <w:fldChar w:fldCharType="end"/>
      </w:r>
    </w:p>
    <w:p w:rsidR="00814F29" w:rsidRPr="000B7129" w:rsidRDefault="00814F29" w:rsidP="00814F29">
      <w:pPr>
        <w:pStyle w:val="ListParagraph"/>
        <w:numPr>
          <w:ilvl w:val="0"/>
          <w:numId w:val="2"/>
        </w:numPr>
        <w:spacing w:after="120" w:line="360" w:lineRule="auto"/>
        <w:ind w:left="714" w:hanging="357"/>
        <w:jc w:val="both"/>
        <w:rPr>
          <w:rFonts w:asciiTheme="minorHAnsi" w:hAnsiTheme="minorHAnsi" w:cstheme="minorHAnsi"/>
        </w:rPr>
      </w:pPr>
      <w:r w:rsidRPr="000B7129">
        <w:rPr>
          <w:rFonts w:asciiTheme="minorHAnsi" w:hAnsiTheme="minorHAnsi" w:cstheme="minorHAnsi"/>
        </w:rPr>
        <w:t xml:space="preserve">A national study in South Korea for persons aged 18 to 64 years </w:t>
      </w:r>
      <w:r>
        <w:rPr>
          <w:rFonts w:asciiTheme="minorHAnsi" w:hAnsiTheme="minorHAnsi" w:cstheme="minorHAnsi"/>
        </w:rPr>
        <w:fldChar w:fldCharType="begin">
          <w:fldData xml:space="preserve">PEVuZE5vdGU+PENpdGU+PEF1dGhvcj5DaG88L0F1dGhvcj48WWVhcj4yMDA3PC9ZZWFyPjxSZWNO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PEVuZE5vdGU+PENpdGU+PEF1dGhvcj5DaG88L0F1dGhvcj48WWVhcj4yMDA3PC9ZZWFyPjxSZWNO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p>
    <w:p w:rsidR="00814F29" w:rsidRDefault="00814F29" w:rsidP="00814F29">
      <w:pPr>
        <w:spacing w:after="0" w:line="360" w:lineRule="auto"/>
        <w:contextualSpacing/>
        <w:jc w:val="both"/>
        <w:rPr>
          <w:rFonts w:asciiTheme="minorHAnsi" w:hAnsiTheme="minorHAnsi" w:cstheme="minorHAnsi"/>
        </w:rPr>
      </w:pPr>
      <w:r>
        <w:rPr>
          <w:rFonts w:asciiTheme="minorHAnsi" w:hAnsiTheme="minorHAnsi" w:cstheme="minorHAnsi"/>
        </w:rPr>
        <w:t xml:space="preserve">As both studies reported national sampling frames, this data was considered to represent the national population for persons aged 20-80 years in Japan  (91% of adult 18-80 year-old population) and 18-64 years in South Korea (89% of the 18-80 year-old population). The proportion of the population coverage for Japan and South Korea were weighted by the population of those countries </w:t>
      </w:r>
      <w:r>
        <w:rPr>
          <w:rFonts w:asciiTheme="minorHAnsi" w:hAnsiTheme="minorHAnsi" w:cstheme="minorHAnsi"/>
        </w:rPr>
        <w:lastRenderedPageBreak/>
        <w:t>relative to the population for Asia Pacific High Income (72% and 26%, respectively), resulting in a regional coverage for anxiety disorders, adjusted by study age groups and sampling frames, of 93%</w:t>
      </w:r>
      <w:r w:rsidRPr="006C6687">
        <w:rPr>
          <w:rFonts w:asciiTheme="minorHAnsi" w:hAnsiTheme="minorHAnsi" w:cstheme="minorHAnsi"/>
          <w:color w:val="FF0000"/>
        </w:rPr>
        <w:t>.</w:t>
      </w:r>
    </w:p>
    <w:p w:rsidR="00814F29" w:rsidRDefault="00814F29" w:rsidP="00814F29">
      <w:pPr>
        <w:spacing w:after="0" w:line="360" w:lineRule="auto"/>
        <w:contextualSpacing/>
        <w:jc w:val="both"/>
        <w:rPr>
          <w:rFonts w:asciiTheme="minorHAnsi" w:hAnsiTheme="minorHAnsi" w:cstheme="minorHAnsi"/>
        </w:rPr>
      </w:pPr>
    </w:p>
    <w:p w:rsidR="00814F29" w:rsidRDefault="00814F29" w:rsidP="00814F29">
      <w:pPr>
        <w:spacing w:after="0" w:line="360" w:lineRule="auto"/>
        <w:contextualSpacing/>
        <w:jc w:val="both"/>
        <w:rPr>
          <w:rFonts w:asciiTheme="minorHAnsi" w:hAnsiTheme="minorHAnsi" w:cstheme="minorHAnsi"/>
        </w:rPr>
      </w:pPr>
    </w:p>
    <w:p w:rsidR="00814F29" w:rsidRDefault="00814F29" w:rsidP="00814F29">
      <w:pPr>
        <w:spacing w:after="120" w:line="360" w:lineRule="auto"/>
        <w:contextualSpacing/>
        <w:jc w:val="both"/>
        <w:rPr>
          <w:rFonts w:asciiTheme="minorHAnsi" w:hAnsiTheme="minorHAnsi" w:cstheme="minorHAnsi"/>
          <w:u w:val="single"/>
        </w:rPr>
      </w:pPr>
      <w:proofErr w:type="gramStart"/>
      <w:r w:rsidRPr="00A21914">
        <w:rPr>
          <w:rFonts w:asciiTheme="minorHAnsi" w:hAnsiTheme="minorHAnsi" w:cstheme="minorHAnsi"/>
          <w:u w:val="single"/>
        </w:rPr>
        <w:t>Example 2.</w:t>
      </w:r>
      <w:proofErr w:type="gramEnd"/>
      <w:r w:rsidRPr="00A21914">
        <w:rPr>
          <w:rFonts w:asciiTheme="minorHAnsi" w:hAnsiTheme="minorHAnsi" w:cstheme="minorHAnsi"/>
          <w:u w:val="single"/>
        </w:rPr>
        <w:t xml:space="preserve"> Sub-national studies</w:t>
      </w:r>
      <w:r>
        <w:rPr>
          <w:rFonts w:asciiTheme="minorHAnsi" w:hAnsiTheme="minorHAnsi" w:cstheme="minorHAnsi"/>
          <w:u w:val="single"/>
        </w:rPr>
        <w:t>:</w:t>
      </w:r>
    </w:p>
    <w:p w:rsidR="00814F29" w:rsidRPr="00A21914" w:rsidRDefault="00814F29" w:rsidP="00814F29">
      <w:pPr>
        <w:spacing w:after="120" w:line="360" w:lineRule="auto"/>
        <w:contextualSpacing/>
        <w:jc w:val="both"/>
        <w:rPr>
          <w:rFonts w:asciiTheme="minorHAnsi" w:hAnsiTheme="minorHAnsi" w:cstheme="minorHAnsi"/>
          <w:u w:val="single"/>
        </w:rPr>
      </w:pPr>
    </w:p>
    <w:p w:rsidR="00814F29" w:rsidRDefault="00814F29" w:rsidP="00814F29">
      <w:pPr>
        <w:spacing w:after="0" w:line="360" w:lineRule="auto"/>
        <w:contextualSpacing/>
        <w:jc w:val="both"/>
        <w:rPr>
          <w:rFonts w:asciiTheme="minorHAnsi" w:hAnsiTheme="minorHAnsi" w:cstheme="minorHAnsi"/>
          <w:bCs/>
          <w:lang w:val="en-AU"/>
        </w:rPr>
      </w:pPr>
      <w:r w:rsidRPr="005270AA">
        <w:rPr>
          <w:rFonts w:asciiTheme="minorHAnsi" w:hAnsiTheme="minorHAnsi" w:cstheme="minorHAnsi"/>
          <w:bCs/>
          <w:lang w:val="en-AU"/>
        </w:rPr>
        <w:t xml:space="preserve">One study for anorexia was found for North Africa/Middle East, focussing on females aged 13-30 years </w:t>
      </w:r>
      <w:r>
        <w:rPr>
          <w:rFonts w:asciiTheme="minorHAnsi" w:hAnsiTheme="minorHAnsi" w:cstheme="minorHAnsi"/>
          <w:bCs/>
          <w:lang w:val="en-AU"/>
        </w:rPr>
        <w:t>from</w:t>
      </w:r>
      <w:r w:rsidRPr="005270AA">
        <w:rPr>
          <w:rFonts w:asciiTheme="minorHAnsi" w:hAnsiTheme="minorHAnsi" w:cstheme="minorHAnsi"/>
          <w:bCs/>
          <w:lang w:val="en-AU"/>
        </w:rPr>
        <w:t xml:space="preserve"> </w:t>
      </w:r>
      <w:r w:rsidRPr="00BD63E5">
        <w:rPr>
          <w:rFonts w:asciiTheme="minorHAnsi" w:hAnsiTheme="minorHAnsi" w:cstheme="minorHAnsi"/>
          <w:bCs/>
          <w:lang w:val="en-AU"/>
        </w:rPr>
        <w:t>Al Ain Province</w:t>
      </w:r>
      <w:r>
        <w:rPr>
          <w:rFonts w:asciiTheme="minorHAnsi" w:hAnsiTheme="minorHAnsi" w:cstheme="minorHAnsi"/>
          <w:bCs/>
          <w:lang w:val="en-AU"/>
        </w:rPr>
        <w:t xml:space="preserve"> </w:t>
      </w:r>
      <w:proofErr w:type="spellStart"/>
      <w:r>
        <w:rPr>
          <w:rFonts w:asciiTheme="minorHAnsi" w:hAnsiTheme="minorHAnsi" w:cstheme="minorHAnsi"/>
          <w:bCs/>
          <w:lang w:val="en-AU"/>
        </w:rPr>
        <w:t>province</w:t>
      </w:r>
      <w:proofErr w:type="spellEnd"/>
      <w:r>
        <w:rPr>
          <w:rFonts w:asciiTheme="minorHAnsi" w:hAnsiTheme="minorHAnsi" w:cstheme="minorHAnsi"/>
          <w:bCs/>
          <w:lang w:val="en-AU"/>
        </w:rPr>
        <w:t xml:space="preserve"> in the </w:t>
      </w:r>
      <w:r w:rsidRPr="005270AA">
        <w:rPr>
          <w:rFonts w:asciiTheme="minorHAnsi" w:hAnsiTheme="minorHAnsi" w:cstheme="minorHAnsi"/>
          <w:bCs/>
          <w:lang w:val="en-AU"/>
        </w:rPr>
        <w:t>United Arab Emirates</w:t>
      </w:r>
      <w:r>
        <w:rPr>
          <w:rFonts w:asciiTheme="minorHAnsi" w:hAnsiTheme="minorHAnsi" w:cstheme="minorHAnsi"/>
          <w:bCs/>
          <w:lang w:val="en-AU"/>
        </w:rPr>
        <w:t xml:space="preserve"> (UAE)</w:t>
      </w:r>
      <w:r w:rsidRPr="005270AA">
        <w:rPr>
          <w:rFonts w:asciiTheme="minorHAnsi" w:hAnsiTheme="minorHAnsi" w:cstheme="minorHAnsi"/>
          <w:bCs/>
          <w:lang w:val="en-AU"/>
        </w:rPr>
        <w:t>.</w:t>
      </w:r>
      <w:r>
        <w:rPr>
          <w:rFonts w:asciiTheme="minorHAnsi" w:hAnsiTheme="minorHAnsi" w:cstheme="minorHAnsi"/>
          <w:bCs/>
          <w:lang w:val="en-AU"/>
        </w:rPr>
        <w:t xml:space="preserve"> As we decided to focus our calculations on the 18-80 year age group to improve comparability of estimates, we considered the target population to be females aged 18-30 years in the province of Al Ain.</w:t>
      </w:r>
    </w:p>
    <w:p w:rsidR="00814F29" w:rsidRDefault="00814F29" w:rsidP="00814F29">
      <w:pPr>
        <w:spacing w:after="0" w:line="360" w:lineRule="auto"/>
        <w:contextualSpacing/>
        <w:jc w:val="both"/>
        <w:rPr>
          <w:rFonts w:asciiTheme="minorHAnsi" w:hAnsiTheme="minorHAnsi" w:cstheme="minorHAnsi"/>
          <w:bCs/>
          <w:lang w:val="en-AU"/>
        </w:rPr>
      </w:pPr>
    </w:p>
    <w:p w:rsidR="00814F29" w:rsidRPr="005270AA" w:rsidRDefault="00814F29" w:rsidP="00814F29">
      <w:pPr>
        <w:spacing w:after="0" w:line="360" w:lineRule="auto"/>
        <w:contextualSpacing/>
        <w:jc w:val="both"/>
        <w:rPr>
          <w:rFonts w:asciiTheme="minorHAnsi" w:hAnsiTheme="minorHAnsi" w:cstheme="minorHAnsi"/>
          <w:bCs/>
          <w:lang w:val="en-AU"/>
        </w:rPr>
      </w:pPr>
      <w:r>
        <w:rPr>
          <w:rFonts w:asciiTheme="minorHAnsi" w:hAnsiTheme="minorHAnsi" w:cstheme="minorHAnsi"/>
          <w:bCs/>
          <w:lang w:val="en-AU"/>
        </w:rPr>
        <w:t xml:space="preserve">In 2005 the proportion of the female UAE population aged 18-30 </w:t>
      </w:r>
      <w:r w:rsidRPr="00BD63E5">
        <w:rPr>
          <w:rFonts w:asciiTheme="minorHAnsi" w:hAnsiTheme="minorHAnsi" w:cstheme="minorHAnsi"/>
          <w:bCs/>
          <w:lang w:val="en-AU"/>
        </w:rPr>
        <w:t>years was approximately 13% of the national population aged 18-80 years.  As the sampling frame represented a single province, coverage was weighted by the proportion of national population within that province (8.5%), resulting in 1%</w:t>
      </w:r>
      <w:r>
        <w:rPr>
          <w:rFonts w:asciiTheme="minorHAnsi" w:hAnsiTheme="minorHAnsi" w:cstheme="minorHAnsi"/>
          <w:bCs/>
          <w:lang w:val="en-AU"/>
        </w:rPr>
        <w:t xml:space="preserve"> estimated coverage of prevalence data for eating disorders in the adult population of UAE. As the UAE accounts for 1% of the population within North Africa/Middle East, we arrive at a regional estimate for coverage of anorexia of approximately one in 10,000 people, abbreviated to &lt;0.1%.</w:t>
      </w:r>
    </w:p>
    <w:p w:rsidR="002E7372" w:rsidRDefault="002E7372"/>
    <w:p w:rsidR="009318B5" w:rsidRDefault="009318B5"/>
    <w:p w:rsidR="009318B5" w:rsidRPr="00C92A05" w:rsidRDefault="009318B5" w:rsidP="009318B5">
      <w:pPr>
        <w:spacing w:after="0" w:line="240" w:lineRule="auto"/>
        <w:contextualSpacing/>
        <w:jc w:val="both"/>
        <w:rPr>
          <w:rFonts w:asciiTheme="minorHAnsi" w:hAnsiTheme="minorHAnsi" w:cstheme="minorHAnsi"/>
          <w:bCs/>
          <w:u w:val="single"/>
          <w:lang w:val="en-AU"/>
        </w:rPr>
      </w:pPr>
      <w:r w:rsidRPr="00C92A05">
        <w:rPr>
          <w:rFonts w:asciiTheme="minorHAnsi" w:hAnsiTheme="minorHAnsi" w:cstheme="minorHAnsi"/>
          <w:bCs/>
          <w:u w:val="single"/>
          <w:lang w:val="en-AU"/>
        </w:rPr>
        <w:t>Assumptions:</w:t>
      </w:r>
    </w:p>
    <w:p w:rsidR="009318B5" w:rsidRDefault="009318B5" w:rsidP="009318B5">
      <w:pPr>
        <w:spacing w:after="0" w:line="240" w:lineRule="auto"/>
        <w:contextualSpacing/>
        <w:jc w:val="both"/>
        <w:rPr>
          <w:rFonts w:asciiTheme="minorHAnsi" w:hAnsiTheme="minorHAnsi" w:cstheme="minorHAnsi"/>
          <w:b/>
          <w:bCs/>
          <w:lang w:val="en-AU"/>
        </w:rPr>
      </w:pPr>
    </w:p>
    <w:p w:rsidR="009318B5" w:rsidRDefault="009318B5" w:rsidP="009318B5">
      <w:pPr>
        <w:pStyle w:val="ListParagraph"/>
        <w:spacing w:after="0" w:line="240" w:lineRule="auto"/>
        <w:jc w:val="both"/>
        <w:rPr>
          <w:rFonts w:asciiTheme="minorHAnsi" w:hAnsiTheme="minorHAnsi" w:cstheme="minorHAnsi"/>
          <w:bCs/>
          <w:lang w:val="en-AU"/>
        </w:rPr>
      </w:pPr>
    </w:p>
    <w:p w:rsidR="009318B5" w:rsidRDefault="009318B5" w:rsidP="009318B5">
      <w:pPr>
        <w:pStyle w:val="ListParagraph"/>
        <w:numPr>
          <w:ilvl w:val="0"/>
          <w:numId w:val="3"/>
        </w:numPr>
        <w:spacing w:after="0" w:line="240" w:lineRule="auto"/>
        <w:jc w:val="both"/>
        <w:rPr>
          <w:rFonts w:asciiTheme="minorHAnsi" w:hAnsiTheme="minorHAnsi" w:cstheme="minorHAnsi"/>
          <w:bCs/>
          <w:lang w:val="en-AU"/>
        </w:rPr>
      </w:pPr>
      <w:r w:rsidRPr="002B3E04">
        <w:rPr>
          <w:rFonts w:asciiTheme="minorHAnsi" w:hAnsiTheme="minorHAnsi" w:cstheme="minorHAnsi"/>
          <w:bCs/>
          <w:lang w:val="en-AU"/>
        </w:rPr>
        <w:t>Age groups</w:t>
      </w:r>
      <w:r>
        <w:rPr>
          <w:rFonts w:asciiTheme="minorHAnsi" w:hAnsiTheme="minorHAnsi" w:cstheme="minorHAnsi"/>
          <w:bCs/>
          <w:lang w:val="en-AU"/>
        </w:rPr>
        <w:t>,</w:t>
      </w:r>
      <w:r w:rsidRPr="002B3E04">
        <w:rPr>
          <w:rFonts w:asciiTheme="minorHAnsi" w:hAnsiTheme="minorHAnsi" w:cstheme="minorHAnsi"/>
          <w:bCs/>
          <w:lang w:val="en-AU"/>
        </w:rPr>
        <w:t xml:space="preserve"> as </w:t>
      </w:r>
      <w:r>
        <w:rPr>
          <w:rFonts w:asciiTheme="minorHAnsi" w:hAnsiTheme="minorHAnsi" w:cstheme="minorHAnsi"/>
          <w:bCs/>
          <w:lang w:val="en-AU"/>
        </w:rPr>
        <w:t xml:space="preserve">a </w:t>
      </w:r>
      <w:r w:rsidRPr="002B3E04">
        <w:rPr>
          <w:rFonts w:asciiTheme="minorHAnsi" w:hAnsiTheme="minorHAnsi" w:cstheme="minorHAnsi"/>
          <w:bCs/>
          <w:lang w:val="en-AU"/>
        </w:rPr>
        <w:t>p</w:t>
      </w:r>
      <w:r>
        <w:rPr>
          <w:rFonts w:asciiTheme="minorHAnsi" w:hAnsiTheme="minorHAnsi" w:cstheme="minorHAnsi"/>
          <w:bCs/>
          <w:lang w:val="en-AU"/>
        </w:rPr>
        <w:t>roportion of whole country popu</w:t>
      </w:r>
      <w:r w:rsidRPr="002B3E04">
        <w:rPr>
          <w:rFonts w:asciiTheme="minorHAnsi" w:hAnsiTheme="minorHAnsi" w:cstheme="minorHAnsi"/>
          <w:bCs/>
          <w:lang w:val="en-AU"/>
        </w:rPr>
        <w:t>l</w:t>
      </w:r>
      <w:r>
        <w:rPr>
          <w:rFonts w:asciiTheme="minorHAnsi" w:hAnsiTheme="minorHAnsi" w:cstheme="minorHAnsi"/>
          <w:bCs/>
          <w:lang w:val="en-AU"/>
        </w:rPr>
        <w:t>a</w:t>
      </w:r>
      <w:r w:rsidRPr="002B3E04">
        <w:rPr>
          <w:rFonts w:asciiTheme="minorHAnsi" w:hAnsiTheme="minorHAnsi" w:cstheme="minorHAnsi"/>
          <w:bCs/>
          <w:lang w:val="en-AU"/>
        </w:rPr>
        <w:t>tions</w:t>
      </w:r>
      <w:r>
        <w:rPr>
          <w:rFonts w:asciiTheme="minorHAnsi" w:hAnsiTheme="minorHAnsi" w:cstheme="minorHAnsi"/>
          <w:bCs/>
          <w:lang w:val="en-AU"/>
        </w:rPr>
        <w:t>,</w:t>
      </w:r>
      <w:r w:rsidRPr="002B3E04">
        <w:rPr>
          <w:rFonts w:asciiTheme="minorHAnsi" w:hAnsiTheme="minorHAnsi" w:cstheme="minorHAnsi"/>
          <w:bCs/>
          <w:lang w:val="en-AU"/>
        </w:rPr>
        <w:t xml:space="preserve"> did not change between 1990 and 2005</w:t>
      </w:r>
      <w:r>
        <w:rPr>
          <w:rFonts w:asciiTheme="minorHAnsi" w:hAnsiTheme="minorHAnsi" w:cstheme="minorHAnsi"/>
          <w:bCs/>
          <w:lang w:val="en-AU"/>
        </w:rPr>
        <w:t xml:space="preserve">. </w:t>
      </w:r>
    </w:p>
    <w:p w:rsidR="009318B5" w:rsidRDefault="009318B5" w:rsidP="009318B5">
      <w:pPr>
        <w:pStyle w:val="ListParagraph"/>
        <w:spacing w:after="0" w:line="240" w:lineRule="auto"/>
        <w:jc w:val="both"/>
        <w:rPr>
          <w:rFonts w:asciiTheme="minorHAnsi" w:hAnsiTheme="minorHAnsi" w:cstheme="minorHAnsi"/>
          <w:bCs/>
          <w:lang w:val="en-AU"/>
        </w:rPr>
      </w:pPr>
      <w:r>
        <w:rPr>
          <w:rFonts w:asciiTheme="minorHAnsi" w:hAnsiTheme="minorHAnsi" w:cstheme="minorHAnsi"/>
          <w:bCs/>
          <w:i/>
          <w:lang w:val="en-AU"/>
        </w:rPr>
        <w:t>A</w:t>
      </w:r>
      <w:r w:rsidRPr="00515DDB">
        <w:rPr>
          <w:rFonts w:asciiTheme="minorHAnsi" w:hAnsiTheme="minorHAnsi" w:cstheme="minorHAnsi"/>
          <w:bCs/>
          <w:i/>
          <w:lang w:val="en-AU"/>
        </w:rPr>
        <w:t>ssumption tested using Chi-square analyses (available upon request).</w:t>
      </w:r>
    </w:p>
    <w:p w:rsidR="009318B5" w:rsidRPr="002B3E04" w:rsidRDefault="009318B5" w:rsidP="009318B5">
      <w:pPr>
        <w:spacing w:after="0" w:line="240" w:lineRule="auto"/>
        <w:jc w:val="both"/>
        <w:rPr>
          <w:rFonts w:asciiTheme="minorHAnsi" w:hAnsiTheme="minorHAnsi" w:cstheme="minorHAnsi"/>
          <w:bCs/>
          <w:lang w:val="en-AU"/>
        </w:rPr>
      </w:pPr>
    </w:p>
    <w:p w:rsidR="009318B5" w:rsidRDefault="009318B5" w:rsidP="009318B5">
      <w:pPr>
        <w:pStyle w:val="ListParagraph"/>
        <w:numPr>
          <w:ilvl w:val="0"/>
          <w:numId w:val="3"/>
        </w:numPr>
        <w:spacing w:after="0" w:line="240" w:lineRule="auto"/>
        <w:jc w:val="both"/>
        <w:rPr>
          <w:rFonts w:asciiTheme="minorHAnsi" w:hAnsiTheme="minorHAnsi" w:cstheme="minorHAnsi"/>
          <w:bCs/>
          <w:lang w:val="en-AU"/>
        </w:rPr>
      </w:pPr>
      <w:r w:rsidRPr="00EC76DB">
        <w:rPr>
          <w:rFonts w:asciiTheme="minorHAnsi" w:hAnsiTheme="minorHAnsi" w:cstheme="minorHAnsi"/>
          <w:bCs/>
          <w:lang w:val="en-AU"/>
        </w:rPr>
        <w:t xml:space="preserve">The population within the study age group relative to the national population did not differ significantly between the period of data collection and reference year 2005. </w:t>
      </w:r>
    </w:p>
    <w:p w:rsidR="009318B5" w:rsidRPr="00CD16F5" w:rsidRDefault="009318B5" w:rsidP="009318B5">
      <w:pPr>
        <w:spacing w:after="0" w:line="240" w:lineRule="auto"/>
        <w:ind w:left="360" w:firstLine="360"/>
        <w:jc w:val="both"/>
        <w:rPr>
          <w:rFonts w:asciiTheme="minorHAnsi" w:hAnsiTheme="minorHAnsi" w:cstheme="minorHAnsi"/>
          <w:bCs/>
          <w:lang w:val="en-AU"/>
        </w:rPr>
      </w:pPr>
      <w:r w:rsidRPr="00CD16F5">
        <w:rPr>
          <w:rFonts w:asciiTheme="minorHAnsi" w:hAnsiTheme="minorHAnsi" w:cstheme="minorHAnsi"/>
          <w:bCs/>
          <w:i/>
          <w:lang w:val="en-AU"/>
        </w:rPr>
        <w:t>Assumption tested using Chi-square analyses (available upon request).</w:t>
      </w:r>
    </w:p>
    <w:p w:rsidR="009318B5" w:rsidRDefault="009318B5" w:rsidP="009318B5">
      <w:pPr>
        <w:spacing w:after="0" w:line="240" w:lineRule="auto"/>
        <w:contextualSpacing/>
        <w:jc w:val="both"/>
        <w:rPr>
          <w:rFonts w:asciiTheme="minorHAnsi" w:hAnsiTheme="minorHAnsi" w:cstheme="minorHAnsi"/>
          <w:bCs/>
          <w:lang w:val="en-AU"/>
        </w:rPr>
      </w:pPr>
    </w:p>
    <w:p w:rsidR="009318B5" w:rsidRPr="00EC76DB" w:rsidRDefault="009318B5" w:rsidP="009318B5">
      <w:pPr>
        <w:pStyle w:val="ListParagraph"/>
        <w:numPr>
          <w:ilvl w:val="0"/>
          <w:numId w:val="3"/>
        </w:numPr>
        <w:spacing w:after="0" w:line="240" w:lineRule="auto"/>
        <w:jc w:val="both"/>
        <w:rPr>
          <w:rFonts w:asciiTheme="minorHAnsi" w:hAnsiTheme="minorHAnsi" w:cstheme="minorHAnsi"/>
          <w:bCs/>
          <w:lang w:val="en-AU"/>
        </w:rPr>
      </w:pPr>
      <w:r w:rsidRPr="00EC76DB">
        <w:rPr>
          <w:rFonts w:asciiTheme="minorHAnsi" w:hAnsiTheme="minorHAnsi" w:cstheme="minorHAnsi"/>
          <w:bCs/>
          <w:lang w:val="en-AU"/>
        </w:rPr>
        <w:t>Where multiple studies were reported for a country, the</w:t>
      </w:r>
      <w:r>
        <w:rPr>
          <w:rFonts w:asciiTheme="minorHAnsi" w:hAnsiTheme="minorHAnsi" w:cstheme="minorHAnsi"/>
          <w:bCs/>
          <w:lang w:val="en-AU"/>
        </w:rPr>
        <w:t xml:space="preserve"> most comprehensive </w:t>
      </w:r>
      <w:r w:rsidRPr="00EC76DB">
        <w:rPr>
          <w:rFonts w:asciiTheme="minorHAnsi" w:hAnsiTheme="minorHAnsi" w:cstheme="minorHAnsi"/>
          <w:bCs/>
          <w:lang w:val="en-AU"/>
        </w:rPr>
        <w:t>study took priority</w:t>
      </w:r>
      <w:r>
        <w:rPr>
          <w:rFonts w:asciiTheme="minorHAnsi" w:hAnsiTheme="minorHAnsi" w:cstheme="minorHAnsi"/>
          <w:bCs/>
          <w:lang w:val="en-AU"/>
        </w:rPr>
        <w:t xml:space="preserve">, for example a national study was considered over </w:t>
      </w:r>
      <w:r w:rsidRPr="00EC76DB">
        <w:rPr>
          <w:rFonts w:asciiTheme="minorHAnsi" w:hAnsiTheme="minorHAnsi" w:cstheme="minorHAnsi"/>
          <w:bCs/>
          <w:lang w:val="en-AU"/>
        </w:rPr>
        <w:t>sub-national studies</w:t>
      </w:r>
      <w:r>
        <w:rPr>
          <w:rFonts w:asciiTheme="minorHAnsi" w:hAnsiTheme="minorHAnsi" w:cstheme="minorHAnsi"/>
          <w:bCs/>
          <w:lang w:val="en-AU"/>
        </w:rPr>
        <w:t>.</w:t>
      </w:r>
    </w:p>
    <w:p w:rsidR="009318B5" w:rsidRDefault="009318B5" w:rsidP="009318B5">
      <w:pPr>
        <w:spacing w:after="0"/>
        <w:contextualSpacing/>
      </w:pPr>
    </w:p>
    <w:p w:rsidR="009318B5" w:rsidRDefault="009318B5" w:rsidP="009318B5">
      <w:pPr>
        <w:pStyle w:val="Heading1"/>
      </w:pPr>
      <w:bookmarkStart w:id="2" w:name="_Toc332195694"/>
    </w:p>
    <w:p w:rsidR="00C92A05" w:rsidRDefault="00C92A05" w:rsidP="00C92A05">
      <w:pPr>
        <w:rPr>
          <w:lang w:val="en-AU"/>
        </w:rPr>
      </w:pPr>
    </w:p>
    <w:p w:rsidR="00C92A05" w:rsidRDefault="00C92A05" w:rsidP="00C92A05">
      <w:pPr>
        <w:rPr>
          <w:lang w:val="en-AU"/>
        </w:rPr>
      </w:pPr>
    </w:p>
    <w:p w:rsidR="00C92A05" w:rsidRDefault="00C92A05" w:rsidP="00C92A05">
      <w:pPr>
        <w:rPr>
          <w:lang w:val="en-AU"/>
        </w:rPr>
      </w:pPr>
    </w:p>
    <w:p w:rsidR="00C92A05" w:rsidRPr="00C92A05" w:rsidRDefault="00C92A05" w:rsidP="00C92A05">
      <w:pPr>
        <w:rPr>
          <w:lang w:val="en-AU"/>
        </w:rPr>
      </w:pPr>
    </w:p>
    <w:p w:rsidR="009318B5" w:rsidRPr="00C92A05" w:rsidRDefault="009318B5" w:rsidP="00C92A05">
      <w:pPr>
        <w:rPr>
          <w:u w:val="single"/>
        </w:rPr>
      </w:pPr>
      <w:r w:rsidRPr="00C92A05">
        <w:rPr>
          <w:u w:val="single"/>
        </w:rPr>
        <w:t>References</w:t>
      </w:r>
      <w:bookmarkEnd w:id="2"/>
    </w:p>
    <w:p w:rsidR="009318B5" w:rsidRDefault="009318B5" w:rsidP="009318B5">
      <w:pPr>
        <w:ind w:left="567" w:hanging="567"/>
        <w:jc w:val="both"/>
        <w:rPr>
          <w:rFonts w:asciiTheme="minorHAnsi" w:hAnsiTheme="minorHAnsi" w:cstheme="minorHAnsi"/>
        </w:rPr>
      </w:pPr>
    </w:p>
    <w:p w:rsidR="009318B5" w:rsidRPr="00625BF7" w:rsidRDefault="009318B5" w:rsidP="009318B5">
      <w:pPr>
        <w:spacing w:after="0" w:line="240" w:lineRule="auto"/>
        <w:ind w:left="284" w:hanging="284"/>
        <w:jc w:val="both"/>
        <w:rPr>
          <w:rFonts w:cstheme="minorHAnsi"/>
          <w:noProof/>
        </w:rPr>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Pr="00625BF7">
        <w:rPr>
          <w:rFonts w:cstheme="minorHAnsi"/>
          <w:noProof/>
        </w:rPr>
        <w:t xml:space="preserve">1. World Health Organization (2005) Mental Health Atlas: 2005; </w:t>
      </w:r>
      <w:r>
        <w:rPr>
          <w:rFonts w:cstheme="minorHAnsi"/>
          <w:noProof/>
        </w:rPr>
        <w:t>WHO,</w:t>
      </w:r>
      <w:r w:rsidRPr="00625BF7">
        <w:rPr>
          <w:rFonts w:cstheme="minorHAnsi"/>
          <w:noProof/>
        </w:rPr>
        <w:t xml:space="preserve"> Geneva.</w:t>
      </w:r>
    </w:p>
    <w:p w:rsidR="009318B5" w:rsidRPr="00625BF7" w:rsidRDefault="009318B5" w:rsidP="009318B5">
      <w:pPr>
        <w:spacing w:after="0" w:line="240" w:lineRule="auto"/>
        <w:ind w:left="284" w:hanging="284"/>
        <w:jc w:val="both"/>
        <w:rPr>
          <w:rFonts w:cstheme="minorHAnsi"/>
          <w:noProof/>
        </w:rPr>
      </w:pPr>
      <w:r w:rsidRPr="00625BF7">
        <w:rPr>
          <w:rFonts w:cstheme="minorHAnsi"/>
          <w:noProof/>
        </w:rPr>
        <w:t xml:space="preserve">2. World </w:t>
      </w:r>
      <w:r>
        <w:rPr>
          <w:rFonts w:cstheme="minorHAnsi"/>
          <w:noProof/>
        </w:rPr>
        <w:t>Mental health Survey Collaboration</w:t>
      </w:r>
      <w:r w:rsidRPr="00625BF7">
        <w:rPr>
          <w:rFonts w:cstheme="minorHAnsi"/>
          <w:noProof/>
        </w:rPr>
        <w:t xml:space="preserve"> (2008) World Mental Health Survey</w:t>
      </w:r>
      <w:r>
        <w:rPr>
          <w:rFonts w:cstheme="minorHAnsi"/>
          <w:noProof/>
        </w:rPr>
        <w:t>, unpublished data</w:t>
      </w:r>
      <w:r w:rsidRPr="00625BF7">
        <w:rPr>
          <w:rFonts w:cstheme="minorHAnsi"/>
          <w:noProof/>
        </w:rPr>
        <w:t>.</w:t>
      </w:r>
      <w:r>
        <w:rPr>
          <w:rFonts w:cstheme="minorHAnsi"/>
          <w:noProof/>
        </w:rPr>
        <w:t xml:space="preserve"> harvard University, Boston. </w:t>
      </w:r>
    </w:p>
    <w:p w:rsidR="009318B5" w:rsidRPr="00625BF7" w:rsidRDefault="009318B5" w:rsidP="009318B5">
      <w:pPr>
        <w:spacing w:after="0" w:line="240" w:lineRule="auto"/>
        <w:ind w:left="284" w:hanging="284"/>
        <w:jc w:val="both"/>
        <w:rPr>
          <w:rFonts w:cstheme="minorHAnsi"/>
          <w:noProof/>
        </w:rPr>
      </w:pPr>
      <w:r w:rsidRPr="00625BF7">
        <w:rPr>
          <w:rFonts w:cstheme="minorHAnsi"/>
          <w:noProof/>
        </w:rPr>
        <w:t>3. Cho MJ, Kim JK, Jeon HJ, Suh T, Chung IW, et al. (2007) Lifetime and 12-month prevalence of DSM-IV psychiatric disorders among Korean adults. Journal of Nervous and Mental Disease 195: 203–210.</w:t>
      </w:r>
    </w:p>
    <w:p w:rsidR="009318B5" w:rsidRDefault="009318B5" w:rsidP="009318B5">
      <w:pPr>
        <w:spacing w:after="0" w:line="240" w:lineRule="auto"/>
        <w:ind w:left="284" w:hanging="284"/>
        <w:jc w:val="both"/>
        <w:rPr>
          <w:rFonts w:cstheme="minorHAnsi"/>
          <w:noProof/>
        </w:rPr>
      </w:pPr>
    </w:p>
    <w:p w:rsidR="009318B5" w:rsidRDefault="009318B5" w:rsidP="009318B5">
      <w:pPr>
        <w:spacing w:after="0"/>
        <w:contextualSpacing/>
      </w:pPr>
      <w:r>
        <w:rPr>
          <w:rFonts w:asciiTheme="minorHAnsi" w:hAnsiTheme="minorHAnsi" w:cstheme="minorHAnsi"/>
        </w:rPr>
        <w:fldChar w:fldCharType="end"/>
      </w:r>
    </w:p>
    <w:p w:rsidR="009318B5" w:rsidRDefault="009318B5"/>
    <w:sectPr w:rsidR="009318B5" w:rsidSect="00814F29">
      <w:pgSz w:w="11906" w:h="16838"/>
      <w:pgMar w:top="1361" w:right="1440"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165"/>
    <w:multiLevelType w:val="hybridMultilevel"/>
    <w:tmpl w:val="27705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AF7A7A"/>
    <w:multiLevelType w:val="hybridMultilevel"/>
    <w:tmpl w:val="D482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533EDB"/>
    <w:multiLevelType w:val="multilevel"/>
    <w:tmpl w:val="ED2428E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rPr>
    </w:lvl>
    <w:lvl w:ilvl="2">
      <w:start w:val="1"/>
      <w:numFmt w:val="none"/>
      <w:lvlText w:val="%1.%2.1"/>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2"/>
  </w:compat>
  <w:rsids>
    <w:rsidRoot w:val="00814F29"/>
    <w:rsid w:val="00006299"/>
    <w:rsid w:val="000601C5"/>
    <w:rsid w:val="000621AE"/>
    <w:rsid w:val="00075440"/>
    <w:rsid w:val="00086F83"/>
    <w:rsid w:val="0009562F"/>
    <w:rsid w:val="000A0386"/>
    <w:rsid w:val="000D70B2"/>
    <w:rsid w:val="000E7BA7"/>
    <w:rsid w:val="000F287E"/>
    <w:rsid w:val="0012363D"/>
    <w:rsid w:val="00140E4A"/>
    <w:rsid w:val="00145AE5"/>
    <w:rsid w:val="001A2840"/>
    <w:rsid w:val="001B2A56"/>
    <w:rsid w:val="001B5EB6"/>
    <w:rsid w:val="001D64BC"/>
    <w:rsid w:val="001D69FC"/>
    <w:rsid w:val="001F3FE5"/>
    <w:rsid w:val="00232770"/>
    <w:rsid w:val="0026578E"/>
    <w:rsid w:val="00276785"/>
    <w:rsid w:val="002C0C49"/>
    <w:rsid w:val="002D7FA0"/>
    <w:rsid w:val="002E5F9F"/>
    <w:rsid w:val="002E7372"/>
    <w:rsid w:val="002F0E91"/>
    <w:rsid w:val="003001F2"/>
    <w:rsid w:val="00310E19"/>
    <w:rsid w:val="003257AF"/>
    <w:rsid w:val="00345E78"/>
    <w:rsid w:val="00357D54"/>
    <w:rsid w:val="003A4009"/>
    <w:rsid w:val="003D702A"/>
    <w:rsid w:val="003F48EB"/>
    <w:rsid w:val="003F6A86"/>
    <w:rsid w:val="00400987"/>
    <w:rsid w:val="00411182"/>
    <w:rsid w:val="00441105"/>
    <w:rsid w:val="00452DBD"/>
    <w:rsid w:val="004A4131"/>
    <w:rsid w:val="004A5025"/>
    <w:rsid w:val="004A6A03"/>
    <w:rsid w:val="004B2F2A"/>
    <w:rsid w:val="004B4B29"/>
    <w:rsid w:val="004D5E9F"/>
    <w:rsid w:val="00500332"/>
    <w:rsid w:val="00504615"/>
    <w:rsid w:val="00513FF7"/>
    <w:rsid w:val="00520066"/>
    <w:rsid w:val="00531044"/>
    <w:rsid w:val="00554E70"/>
    <w:rsid w:val="00582C39"/>
    <w:rsid w:val="005A7B15"/>
    <w:rsid w:val="005B18E1"/>
    <w:rsid w:val="005B213C"/>
    <w:rsid w:val="005D2BF9"/>
    <w:rsid w:val="005E7991"/>
    <w:rsid w:val="00634FC8"/>
    <w:rsid w:val="006A7B8D"/>
    <w:rsid w:val="006D5041"/>
    <w:rsid w:val="006E0A06"/>
    <w:rsid w:val="006F0C9F"/>
    <w:rsid w:val="006F1034"/>
    <w:rsid w:val="006F291C"/>
    <w:rsid w:val="0071206E"/>
    <w:rsid w:val="00712B71"/>
    <w:rsid w:val="007358E0"/>
    <w:rsid w:val="007657A1"/>
    <w:rsid w:val="007B0740"/>
    <w:rsid w:val="007C6039"/>
    <w:rsid w:val="008030FC"/>
    <w:rsid w:val="00810EB6"/>
    <w:rsid w:val="00814F29"/>
    <w:rsid w:val="00895C6E"/>
    <w:rsid w:val="008D38CD"/>
    <w:rsid w:val="008D6DA9"/>
    <w:rsid w:val="008E08D5"/>
    <w:rsid w:val="008F417F"/>
    <w:rsid w:val="00924205"/>
    <w:rsid w:val="00926AB0"/>
    <w:rsid w:val="009318B5"/>
    <w:rsid w:val="00935D7E"/>
    <w:rsid w:val="00945BE6"/>
    <w:rsid w:val="00963D91"/>
    <w:rsid w:val="009670E3"/>
    <w:rsid w:val="009933F8"/>
    <w:rsid w:val="009A13A6"/>
    <w:rsid w:val="009C135B"/>
    <w:rsid w:val="009C782A"/>
    <w:rsid w:val="009D2AF7"/>
    <w:rsid w:val="009F18CD"/>
    <w:rsid w:val="00A2391E"/>
    <w:rsid w:val="00AA0CC5"/>
    <w:rsid w:val="00AB5399"/>
    <w:rsid w:val="00AD3BB5"/>
    <w:rsid w:val="00AE50B9"/>
    <w:rsid w:val="00B84EB2"/>
    <w:rsid w:val="00B91D2E"/>
    <w:rsid w:val="00B930E7"/>
    <w:rsid w:val="00B94642"/>
    <w:rsid w:val="00BD118B"/>
    <w:rsid w:val="00C032CD"/>
    <w:rsid w:val="00C21C10"/>
    <w:rsid w:val="00C261B9"/>
    <w:rsid w:val="00C6654F"/>
    <w:rsid w:val="00C75D7B"/>
    <w:rsid w:val="00C92A05"/>
    <w:rsid w:val="00C9496C"/>
    <w:rsid w:val="00CB1A8D"/>
    <w:rsid w:val="00CB4A58"/>
    <w:rsid w:val="00CB75B1"/>
    <w:rsid w:val="00CC7489"/>
    <w:rsid w:val="00CF7BE5"/>
    <w:rsid w:val="00D24B93"/>
    <w:rsid w:val="00D41C46"/>
    <w:rsid w:val="00D52308"/>
    <w:rsid w:val="00D8661D"/>
    <w:rsid w:val="00DC5FA9"/>
    <w:rsid w:val="00DE1232"/>
    <w:rsid w:val="00DE17F9"/>
    <w:rsid w:val="00E16597"/>
    <w:rsid w:val="00E2507A"/>
    <w:rsid w:val="00EC0BDD"/>
    <w:rsid w:val="00EC7992"/>
    <w:rsid w:val="00EE3BBC"/>
    <w:rsid w:val="00F00B43"/>
    <w:rsid w:val="00F106E2"/>
    <w:rsid w:val="00F210C8"/>
    <w:rsid w:val="00F26364"/>
    <w:rsid w:val="00F26A7C"/>
    <w:rsid w:val="00FA2E62"/>
    <w:rsid w:val="00FB0499"/>
    <w:rsid w:val="00FB426D"/>
    <w:rsid w:val="00FD4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9"/>
    <w:rPr>
      <w:rFonts w:ascii="Calibri" w:eastAsia="PMingLiU" w:hAnsi="Calibri" w:cs="Times New Roman"/>
      <w:lang w:val="en-US"/>
    </w:rPr>
  </w:style>
  <w:style w:type="paragraph" w:styleId="Heading1">
    <w:name w:val="heading 1"/>
    <w:basedOn w:val="Normal"/>
    <w:next w:val="Normal"/>
    <w:link w:val="Heading1Char"/>
    <w:autoRedefine/>
    <w:uiPriority w:val="99"/>
    <w:qFormat/>
    <w:rsid w:val="00B84EB2"/>
    <w:pPr>
      <w:keepNext/>
      <w:keepLines/>
      <w:spacing w:before="480" w:after="24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autoRedefine/>
    <w:qFormat/>
    <w:rsid w:val="007B0740"/>
    <w:pPr>
      <w:keepNext/>
      <w:tabs>
        <w:tab w:val="left" w:pos="709"/>
        <w:tab w:val="left" w:pos="4536"/>
      </w:tabs>
      <w:spacing w:before="120" w:after="120"/>
      <w:outlineLvl w:val="1"/>
    </w:pPr>
    <w:rPr>
      <w:rFonts w:ascii="Arial" w:eastAsia="Times New Roman" w:hAnsi="Arial" w:cs="Arial"/>
      <w:b/>
      <w:bCs/>
      <w:iCs/>
      <w:color w:val="333333"/>
      <w:sz w:val="20"/>
      <w:szCs w:val="18"/>
      <w:lang w:val="en"/>
    </w:rPr>
  </w:style>
  <w:style w:type="paragraph" w:styleId="Heading3">
    <w:name w:val="heading 3"/>
    <w:basedOn w:val="Normal"/>
    <w:next w:val="Normal"/>
    <w:link w:val="Heading3Char"/>
    <w:autoRedefine/>
    <w:uiPriority w:val="9"/>
    <w:unhideWhenUsed/>
    <w:qFormat/>
    <w:rsid w:val="00006299"/>
    <w:pPr>
      <w:keepNext/>
      <w:keepLines/>
      <w:spacing w:before="200"/>
      <w:outlineLvl w:val="2"/>
    </w:pPr>
    <w:rPr>
      <w:rFonts w:ascii="Times New Roman" w:eastAsiaTheme="majorEastAsia" w:hAnsi="Times New Roman" w:cstheme="majorBidi"/>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Heading2"/>
    <w:link w:val="FigureChar"/>
    <w:autoRedefine/>
    <w:qFormat/>
    <w:rsid w:val="001F3FE5"/>
    <w:rPr>
      <w:lang w:val="en-NZ"/>
    </w:rPr>
  </w:style>
  <w:style w:type="character" w:customStyle="1" w:styleId="Heading2Char">
    <w:name w:val="Heading 2 Char"/>
    <w:basedOn w:val="DefaultParagraphFont"/>
    <w:link w:val="Heading2"/>
    <w:rsid w:val="007B0740"/>
    <w:rPr>
      <w:rFonts w:ascii="Arial" w:eastAsia="Times New Roman" w:hAnsi="Arial" w:cs="Arial"/>
      <w:b/>
      <w:bCs/>
      <w:iCs/>
      <w:color w:val="333333"/>
      <w:sz w:val="20"/>
      <w:szCs w:val="18"/>
      <w:lang w:val="en" w:eastAsia="en-NZ"/>
    </w:rPr>
  </w:style>
  <w:style w:type="character" w:customStyle="1" w:styleId="FigureChar">
    <w:name w:val="Figure Char"/>
    <w:basedOn w:val="Heading2Char"/>
    <w:link w:val="Figure"/>
    <w:rsid w:val="001F3FE5"/>
    <w:rPr>
      <w:rFonts w:asciiTheme="majorHAnsi" w:eastAsia="Times New Roman" w:hAnsiTheme="majorHAnsi" w:cstheme="minorHAnsi"/>
      <w:b/>
      <w:bCs/>
      <w:iCs/>
      <w:color w:val="333333"/>
      <w:sz w:val="24"/>
      <w:szCs w:val="28"/>
      <w:lang w:val="en-NZ" w:eastAsia="en-NZ"/>
    </w:rPr>
  </w:style>
  <w:style w:type="paragraph" w:customStyle="1" w:styleId="Table">
    <w:name w:val="Table"/>
    <w:basedOn w:val="Heading2"/>
    <w:autoRedefine/>
    <w:qFormat/>
    <w:rsid w:val="00441105"/>
    <w:pPr>
      <w:spacing w:line="240" w:lineRule="auto"/>
      <w:contextualSpacing/>
    </w:pPr>
    <w:rPr>
      <w:lang w:val="en-NZ"/>
    </w:rPr>
  </w:style>
  <w:style w:type="character" w:customStyle="1" w:styleId="Heading3Char">
    <w:name w:val="Heading 3 Char"/>
    <w:basedOn w:val="DefaultParagraphFont"/>
    <w:link w:val="Heading3"/>
    <w:uiPriority w:val="9"/>
    <w:rsid w:val="00006299"/>
    <w:rPr>
      <w:rFonts w:ascii="Times New Roman" w:eastAsiaTheme="majorEastAsia" w:hAnsi="Times New Roman" w:cstheme="majorBidi"/>
      <w:bCs/>
      <w:i/>
    </w:rPr>
  </w:style>
  <w:style w:type="character" w:customStyle="1" w:styleId="Heading1Char">
    <w:name w:val="Heading 1 Char"/>
    <w:basedOn w:val="DefaultParagraphFont"/>
    <w:link w:val="Heading1"/>
    <w:uiPriority w:val="99"/>
    <w:rsid w:val="00B84E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autoRedefine/>
    <w:uiPriority w:val="10"/>
    <w:qFormat/>
    <w:rsid w:val="00712B71"/>
    <w:pPr>
      <w:spacing w:before="120" w:after="120" w:line="240" w:lineRule="auto"/>
    </w:pPr>
    <w:rPr>
      <w:rFonts w:asciiTheme="majorHAnsi" w:eastAsiaTheme="majorEastAsia" w:hAnsiTheme="majorHAnsi" w:cstheme="majorBidi"/>
      <w:b/>
      <w:spacing w:val="5"/>
      <w:kern w:val="28"/>
      <w:sz w:val="24"/>
      <w:szCs w:val="52"/>
      <w:lang w:val="en-AU"/>
    </w:rPr>
  </w:style>
  <w:style w:type="character" w:customStyle="1" w:styleId="TitleChar">
    <w:name w:val="Title Char"/>
    <w:basedOn w:val="DefaultParagraphFont"/>
    <w:link w:val="Title"/>
    <w:uiPriority w:val="10"/>
    <w:rsid w:val="00712B71"/>
    <w:rPr>
      <w:rFonts w:asciiTheme="majorHAnsi" w:eastAsiaTheme="majorEastAsia" w:hAnsiTheme="majorHAnsi" w:cstheme="majorBidi"/>
      <w:b/>
      <w:spacing w:val="5"/>
      <w:kern w:val="28"/>
      <w:sz w:val="24"/>
      <w:szCs w:val="52"/>
    </w:rPr>
  </w:style>
  <w:style w:type="paragraph" w:customStyle="1" w:styleId="Tablefigurelocation">
    <w:name w:val="Table/figure location"/>
    <w:basedOn w:val="Normal"/>
    <w:autoRedefine/>
    <w:qFormat/>
    <w:rsid w:val="00B94642"/>
    <w:pPr>
      <w:spacing w:before="200"/>
    </w:pPr>
    <w:rPr>
      <w:rFonts w:eastAsia="Calibri" w:cs="Consolas"/>
      <w:b/>
    </w:rPr>
  </w:style>
  <w:style w:type="paragraph" w:customStyle="1" w:styleId="xl151">
    <w:name w:val="xl151"/>
    <w:basedOn w:val="Normal"/>
    <w:autoRedefine/>
    <w:qFormat/>
    <w:rsid w:val="00FA2E62"/>
    <w:pPr>
      <w:pBdr>
        <w:right w:val="single" w:sz="4" w:space="0" w:color="auto"/>
      </w:pBdr>
      <w:spacing w:before="120" w:after="120" w:line="240" w:lineRule="auto"/>
      <w:textAlignment w:val="top"/>
    </w:pPr>
    <w:rPr>
      <w:rFonts w:ascii="Times New Roman" w:eastAsia="Times New Roman" w:hAnsi="Times New Roman"/>
      <w:b/>
      <w:bCs/>
      <w:sz w:val="28"/>
      <w:szCs w:val="28"/>
      <w:lang w:eastAsia="en-AU"/>
    </w:rPr>
  </w:style>
  <w:style w:type="table" w:styleId="LightShading">
    <w:name w:val="Light Shading"/>
    <w:basedOn w:val="TableNormal"/>
    <w:uiPriority w:val="60"/>
    <w:rsid w:val="00D8661D"/>
    <w:pPr>
      <w:spacing w:after="0" w:line="240" w:lineRule="auto"/>
    </w:pPr>
    <w:rPr>
      <w:color w:val="000000" w:themeColor="text1" w:themeShade="BF"/>
      <w:lang w:val="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autoRedefine/>
    <w:qFormat/>
    <w:rsid w:val="00712B71"/>
    <w:rPr>
      <w:sz w:val="24"/>
      <w:szCs w:val="24"/>
    </w:rPr>
  </w:style>
  <w:style w:type="paragraph" w:styleId="ListParagraph">
    <w:name w:val="List Paragraph"/>
    <w:basedOn w:val="Normal"/>
    <w:uiPriority w:val="34"/>
    <w:qFormat/>
    <w:rsid w:val="00814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baxtera</dc:creator>
  <cp:lastModifiedBy>baxtera</cp:lastModifiedBy>
  <cp:revision>4</cp:revision>
  <dcterms:created xsi:type="dcterms:W3CDTF">2013-05-06T04:53:00Z</dcterms:created>
  <dcterms:modified xsi:type="dcterms:W3CDTF">2013-05-10T01:18:00Z</dcterms:modified>
</cp:coreProperties>
</file>