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1892"/>
        <w:gridCol w:w="1893"/>
        <w:gridCol w:w="1893"/>
        <w:gridCol w:w="1893"/>
      </w:tblGrid>
      <w:tr w:rsidR="00C82715" w:rsidTr="00A82645">
        <w:tc>
          <w:tcPr>
            <w:tcW w:w="2005" w:type="dxa"/>
          </w:tcPr>
          <w:p w:rsidR="00C82715" w:rsidRDefault="00C82715"/>
        </w:tc>
        <w:tc>
          <w:tcPr>
            <w:tcW w:w="7571" w:type="dxa"/>
            <w:gridSpan w:val="4"/>
          </w:tcPr>
          <w:p w:rsidR="00C82715" w:rsidRPr="00C96401" w:rsidRDefault="00C82715" w:rsidP="006618AA">
            <w:pPr>
              <w:jc w:val="center"/>
              <w:rPr>
                <w:b/>
                <w:sz w:val="28"/>
                <w:szCs w:val="28"/>
              </w:rPr>
            </w:pPr>
            <w:r w:rsidRPr="00C96401">
              <w:rPr>
                <w:b/>
                <w:sz w:val="28"/>
                <w:szCs w:val="28"/>
              </w:rPr>
              <w:t>Probability of choosing safe</w:t>
            </w:r>
          </w:p>
        </w:tc>
      </w:tr>
      <w:tr w:rsidR="006618AA" w:rsidTr="00244FA4">
        <w:tc>
          <w:tcPr>
            <w:tcW w:w="2005" w:type="dxa"/>
          </w:tcPr>
          <w:p w:rsidR="006618AA" w:rsidRDefault="006618AA"/>
        </w:tc>
        <w:tc>
          <w:tcPr>
            <w:tcW w:w="3785" w:type="dxa"/>
            <w:gridSpan w:val="2"/>
          </w:tcPr>
          <w:p w:rsidR="006618AA" w:rsidRPr="006618AA" w:rsidRDefault="006618AA">
            <w:pPr>
              <w:rPr>
                <w:b/>
              </w:rPr>
            </w:pPr>
            <w:r w:rsidRPr="006618AA">
              <w:rPr>
                <w:b/>
              </w:rPr>
              <w:t>All players</w:t>
            </w:r>
          </w:p>
        </w:tc>
        <w:tc>
          <w:tcPr>
            <w:tcW w:w="3786" w:type="dxa"/>
            <w:gridSpan w:val="2"/>
          </w:tcPr>
          <w:p w:rsidR="006618AA" w:rsidRPr="006618AA" w:rsidRDefault="006618AA">
            <w:pPr>
              <w:rPr>
                <w:b/>
              </w:rPr>
            </w:pPr>
            <w:r w:rsidRPr="006618AA">
              <w:rPr>
                <w:b/>
              </w:rPr>
              <w:t xml:space="preserve">Players with choice rate </w:t>
            </w:r>
            <w:r w:rsidRPr="006618AA">
              <w:rPr>
                <w:b/>
              </w:rPr>
              <w:t>≥</w:t>
            </w:r>
            <w:r w:rsidRPr="006618AA">
              <w:rPr>
                <w:b/>
              </w:rPr>
              <w:t xml:space="preserve"> 60%</w:t>
            </w:r>
          </w:p>
        </w:tc>
      </w:tr>
      <w:tr w:rsidR="00C82715" w:rsidTr="00244FA4">
        <w:tc>
          <w:tcPr>
            <w:tcW w:w="2005" w:type="dxa"/>
          </w:tcPr>
          <w:p w:rsidR="00C82715" w:rsidRDefault="00C82715"/>
        </w:tc>
        <w:tc>
          <w:tcPr>
            <w:tcW w:w="1892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risky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missing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risky</w:t>
            </w:r>
          </w:p>
        </w:tc>
        <w:tc>
          <w:tcPr>
            <w:tcW w:w="1893" w:type="dxa"/>
          </w:tcPr>
          <w:p w:rsidR="00C82715" w:rsidRPr="006618AA" w:rsidRDefault="006618AA">
            <w:pPr>
              <w:rPr>
                <w:sz w:val="20"/>
                <w:szCs w:val="20"/>
              </w:rPr>
            </w:pPr>
            <w:r w:rsidRPr="006618AA">
              <w:rPr>
                <w:sz w:val="20"/>
                <w:szCs w:val="20"/>
              </w:rPr>
              <w:t>Default choice counted as missing</w:t>
            </w:r>
          </w:p>
        </w:tc>
      </w:tr>
      <w:tr w:rsidR="00C82715" w:rsidTr="00553328">
        <w:tc>
          <w:tcPr>
            <w:tcW w:w="2005" w:type="dxa"/>
          </w:tcPr>
          <w:p w:rsidR="00C82715" w:rsidRDefault="00C82715"/>
        </w:tc>
        <w:tc>
          <w:tcPr>
            <w:tcW w:w="1892" w:type="dxa"/>
          </w:tcPr>
          <w:p w:rsidR="00C82715" w:rsidRDefault="006618AA" w:rsidP="006618AA">
            <w:pPr>
              <w:jc w:val="center"/>
            </w:pPr>
            <w:r>
              <w:t>(1)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(2)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(3)</w:t>
            </w:r>
          </w:p>
        </w:tc>
        <w:tc>
          <w:tcPr>
            <w:tcW w:w="1893" w:type="dxa"/>
          </w:tcPr>
          <w:p w:rsidR="00C82715" w:rsidRDefault="006618AA" w:rsidP="006618AA">
            <w:pPr>
              <w:jc w:val="center"/>
            </w:pPr>
            <w:r>
              <w:t>(4)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proofErr w:type="spellStart"/>
            <w:r>
              <w:rPr>
                <w:i/>
              </w:rPr>
              <w:t>c</w:t>
            </w:r>
            <w:r w:rsidRPr="00CE7144">
              <w:rPr>
                <w:i/>
              </w:rPr>
              <w:t>ostlow</w:t>
            </w:r>
            <w:proofErr w:type="spellEnd"/>
          </w:p>
        </w:tc>
        <w:tc>
          <w:tcPr>
            <w:tcW w:w="1892" w:type="dxa"/>
            <w:vAlign w:val="center"/>
          </w:tcPr>
          <w:p w:rsidR="003A2CE3" w:rsidRPr="00FA2F75" w:rsidRDefault="003A2CE3" w:rsidP="00A82645">
            <w:r w:rsidRPr="00FA2F75">
              <w:t>0.104</w:t>
            </w:r>
            <w:r>
              <w:t xml:space="preserve"> (</w:t>
            </w:r>
            <w:r w:rsidRPr="00FA2F75">
              <w:t>0.0975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A2F75" w:rsidRDefault="003A2CE3" w:rsidP="003A2CE3">
            <w:r w:rsidRPr="00FA2F75">
              <w:t>0.205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FA2F75">
              <w:t>0.0972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A2F75" w:rsidRDefault="003A2CE3" w:rsidP="003A2CE3">
            <w:r w:rsidRPr="00FA2F75">
              <w:t>0.199</w:t>
            </w:r>
            <w:r>
              <w:rPr>
                <w:vertAlign w:val="superscript"/>
              </w:rPr>
              <w:t>*</w:t>
            </w:r>
            <w:r>
              <w:t xml:space="preserve"> (</w:t>
            </w:r>
            <w:r w:rsidRPr="00FA2F75">
              <w:t>0.105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A2F75" w:rsidRDefault="003A2CE3" w:rsidP="003A2CE3">
            <w:r w:rsidRPr="00FA2F75">
              <w:t>0.204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FA2F75">
              <w:t>0.103</w:t>
            </w:r>
            <w:r>
              <w:t>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prevknown</w:t>
            </w:r>
            <w:proofErr w:type="spellEnd"/>
          </w:p>
        </w:tc>
        <w:tc>
          <w:tcPr>
            <w:tcW w:w="1892" w:type="dxa"/>
            <w:vAlign w:val="center"/>
          </w:tcPr>
          <w:p w:rsidR="003A2CE3" w:rsidRPr="00FE78A5" w:rsidRDefault="003A2CE3" w:rsidP="00A82645">
            <w:r w:rsidRPr="00FE78A5">
              <w:t>-0.135</w:t>
            </w:r>
            <w:r>
              <w:t xml:space="preserve"> (</w:t>
            </w:r>
            <w:r w:rsidRPr="00FE78A5">
              <w:t>0.468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E78A5" w:rsidRDefault="003A2CE3" w:rsidP="003A2CE3">
            <w:r w:rsidRPr="00FE78A5">
              <w:t>-0.101</w:t>
            </w:r>
            <w:r>
              <w:t xml:space="preserve"> (</w:t>
            </w:r>
            <w:r w:rsidRPr="00FE78A5">
              <w:t>0.518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E78A5" w:rsidRDefault="003A2CE3" w:rsidP="003A2CE3">
            <w:r w:rsidRPr="00FE78A5">
              <w:t>-0.212</w:t>
            </w:r>
            <w:r>
              <w:t xml:space="preserve"> (</w:t>
            </w:r>
            <w:r w:rsidRPr="00FE78A5">
              <w:t>0.538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FE78A5" w:rsidRDefault="003A2CE3" w:rsidP="003A2CE3">
            <w:r w:rsidRPr="00FE78A5">
              <w:t>-0.179</w:t>
            </w:r>
            <w:r>
              <w:t xml:space="preserve"> (</w:t>
            </w:r>
            <w:r w:rsidRPr="00FE78A5">
              <w:t>0.540</w:t>
            </w:r>
            <w:r>
              <w:t>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firstaction</w:t>
            </w:r>
            <w:proofErr w:type="spellEnd"/>
          </w:p>
        </w:tc>
        <w:tc>
          <w:tcPr>
            <w:tcW w:w="1892" w:type="dxa"/>
            <w:vAlign w:val="center"/>
          </w:tcPr>
          <w:p w:rsidR="003A2CE3" w:rsidRPr="009E715A" w:rsidRDefault="003A2CE3" w:rsidP="00A82645">
            <w:r w:rsidRPr="009E715A">
              <w:t>0.381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9E715A">
              <w:t>0.0995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9E715A" w:rsidRDefault="003A2CE3" w:rsidP="003A2CE3">
            <w:r w:rsidRPr="009E715A">
              <w:t>0.183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9E715A">
              <w:t>0.0836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9E715A" w:rsidRDefault="003A2CE3" w:rsidP="003A2CE3">
            <w:r w:rsidRPr="009E715A">
              <w:t>0.199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9E715A">
              <w:t>0.0896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9E715A" w:rsidRDefault="003A2CE3" w:rsidP="003A2CE3">
            <w:r w:rsidRPr="009E715A">
              <w:t>0.164</w:t>
            </w:r>
            <w:r w:rsidRPr="00136278">
              <w:rPr>
                <w:vertAlign w:val="superscript"/>
              </w:rPr>
              <w:t>*</w:t>
            </w:r>
            <w:r>
              <w:t xml:space="preserve"> (</w:t>
            </w:r>
            <w:r w:rsidRPr="009E715A">
              <w:t>0.0892</w:t>
            </w:r>
            <w:r>
              <w:t>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infectriskratio</w:t>
            </w:r>
            <w:proofErr w:type="spellEnd"/>
          </w:p>
        </w:tc>
        <w:tc>
          <w:tcPr>
            <w:tcW w:w="1892" w:type="dxa"/>
            <w:vAlign w:val="center"/>
          </w:tcPr>
          <w:p w:rsidR="003A2CE3" w:rsidRPr="00CC60E7" w:rsidRDefault="003A2CE3" w:rsidP="00A82645">
            <w:r w:rsidRPr="00CC60E7">
              <w:t>0.227</w:t>
            </w:r>
            <w:r>
              <w:t xml:space="preserve"> (</w:t>
            </w:r>
            <w:r w:rsidRPr="00CC60E7">
              <w:t>0.229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CC60E7" w:rsidRDefault="003A2CE3" w:rsidP="003A2CE3">
            <w:r w:rsidRPr="00CC60E7">
              <w:t>0.507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CC60E7">
              <w:t>0.200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CC60E7" w:rsidRDefault="003A2CE3" w:rsidP="003A2CE3">
            <w:r w:rsidRPr="00CC60E7">
              <w:t>0.471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CC60E7">
              <w:t>0.201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CC60E7" w:rsidRDefault="003A2CE3" w:rsidP="003A2CE3">
            <w:r w:rsidRPr="00CC60E7">
              <w:t>0.534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CC60E7">
              <w:t>0.203</w:t>
            </w:r>
            <w:r>
              <w:t>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r>
              <w:rPr>
                <w:i/>
              </w:rPr>
              <w:t>r</w:t>
            </w:r>
            <w:r w:rsidRPr="00CE7144">
              <w:rPr>
                <w:i/>
              </w:rPr>
              <w:t>ound</w:t>
            </w:r>
          </w:p>
        </w:tc>
        <w:tc>
          <w:tcPr>
            <w:tcW w:w="1892" w:type="dxa"/>
            <w:vAlign w:val="center"/>
          </w:tcPr>
          <w:p w:rsidR="003A2CE3" w:rsidRPr="00450DCF" w:rsidRDefault="003A2CE3" w:rsidP="00A82645">
            <w:r w:rsidRPr="00450DCF">
              <w:t>-0.0170</w:t>
            </w:r>
            <w:r w:rsidRPr="00136278">
              <w:rPr>
                <w:vertAlign w:val="superscript"/>
              </w:rPr>
              <w:t>**</w:t>
            </w:r>
            <w:r>
              <w:t xml:space="preserve"> </w:t>
            </w:r>
            <w:r>
              <w:t>(</w:t>
            </w:r>
            <w:r w:rsidRPr="00450DCF">
              <w:t>0.00689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450DCF" w:rsidRDefault="003A2CE3" w:rsidP="003A2CE3">
            <w:r w:rsidRPr="00450DCF">
              <w:t>-0.0198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450DCF">
              <w:t>0.00781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450DCF" w:rsidRDefault="003A2CE3" w:rsidP="003A2CE3">
            <w:r w:rsidRPr="00450DCF">
              <w:t>-0.0192</w:t>
            </w:r>
            <w:r w:rsidRPr="00136278">
              <w:rPr>
                <w:vertAlign w:val="superscript"/>
              </w:rPr>
              <w:t>**</w:t>
            </w:r>
            <w:r>
              <w:t xml:space="preserve"> (</w:t>
            </w:r>
            <w:r w:rsidRPr="00450DCF">
              <w:t>0.00785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450DCF" w:rsidRDefault="003A2CE3" w:rsidP="003A2CE3">
            <w:r w:rsidRPr="00450DCF">
              <w:t>-0.0219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450DCF">
              <w:t>0.00783</w:t>
            </w:r>
            <w:r>
              <w:t>)</w:t>
            </w:r>
          </w:p>
        </w:tc>
      </w:tr>
      <w:tr w:rsidR="003A2CE3" w:rsidTr="00553328">
        <w:tc>
          <w:tcPr>
            <w:tcW w:w="2005" w:type="dxa"/>
            <w:vAlign w:val="center"/>
          </w:tcPr>
          <w:p w:rsidR="003A2CE3" w:rsidRPr="00CE7144" w:rsidRDefault="003A2CE3" w:rsidP="00C84A7C">
            <w:pPr>
              <w:rPr>
                <w:i/>
              </w:rPr>
            </w:pPr>
            <w:proofErr w:type="spellStart"/>
            <w:r w:rsidRPr="00CE7144">
              <w:rPr>
                <w:i/>
              </w:rPr>
              <w:t>prevknown×round</w:t>
            </w:r>
            <w:proofErr w:type="spellEnd"/>
          </w:p>
        </w:tc>
        <w:tc>
          <w:tcPr>
            <w:tcW w:w="1892" w:type="dxa"/>
            <w:vAlign w:val="center"/>
          </w:tcPr>
          <w:p w:rsidR="003A2CE3" w:rsidRPr="00552BBF" w:rsidRDefault="003A2CE3" w:rsidP="00A82645">
            <w:r w:rsidRPr="00552BBF">
              <w:t>0.0518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552BBF">
              <w:t>0.0172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552BBF" w:rsidRDefault="003A2CE3" w:rsidP="003A2CE3">
            <w:r w:rsidRPr="00552BBF">
              <w:t>0.0584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552BBF">
              <w:t>0.0196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552BBF" w:rsidRDefault="003A2CE3" w:rsidP="003A2CE3">
            <w:r w:rsidRPr="00552BBF">
              <w:t>0.0555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552BBF">
              <w:t>0.0197</w:t>
            </w:r>
            <w:r>
              <w:t>)</w:t>
            </w:r>
          </w:p>
        </w:tc>
        <w:tc>
          <w:tcPr>
            <w:tcW w:w="1893" w:type="dxa"/>
            <w:vAlign w:val="center"/>
          </w:tcPr>
          <w:p w:rsidR="003A2CE3" w:rsidRPr="00552BBF" w:rsidRDefault="003A2CE3" w:rsidP="003A2CE3">
            <w:r w:rsidRPr="00552BBF">
              <w:t>0.0630</w:t>
            </w:r>
            <w:r w:rsidRPr="00136278">
              <w:rPr>
                <w:vertAlign w:val="superscript"/>
              </w:rPr>
              <w:t>***</w:t>
            </w:r>
            <w:r>
              <w:t xml:space="preserve"> (</w:t>
            </w:r>
            <w:r w:rsidRPr="00552BBF">
              <w:t>0.0199</w:t>
            </w:r>
            <w:r>
              <w:t>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female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-0.0141 (0.123)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0.0204  (0.112)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0.0365  (0.125)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0.0297    (0.116)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married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-0.193   (0.124)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-0.0729 (0.120)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-0.0656 (0.119)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-0.0530   (0.119)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black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0.142    (0.152)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0.00778 (0.119)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0.0306  (0.113)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-0.000676 (0.119)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hispanic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-0.282</w:t>
            </w:r>
            <w:r w:rsidRPr="00F41365">
              <w:rPr>
                <w:vertAlign w:val="superscript"/>
              </w:rPr>
              <w:t>***</w:t>
            </w:r>
            <w:r w:rsidRPr="00F41365">
              <w:t xml:space="preserve"> (0.0950)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-0.264</w:t>
            </w:r>
            <w:r w:rsidRPr="00395711">
              <w:rPr>
                <w:vertAlign w:val="superscript"/>
              </w:rPr>
              <w:t>**</w:t>
            </w:r>
            <w:r w:rsidRPr="00395711">
              <w:t xml:space="preserve"> (0.127)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-0.330</w:t>
            </w:r>
            <w:r w:rsidRPr="007C710E">
              <w:rPr>
                <w:vertAlign w:val="superscript"/>
              </w:rPr>
              <w:t>**</w:t>
            </w:r>
            <w:r w:rsidRPr="007C710E">
              <w:t xml:space="preserve"> (0.147)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-0.273</w:t>
            </w:r>
            <w:r w:rsidRPr="004C0EBA">
              <w:rPr>
                <w:vertAlign w:val="superscript"/>
              </w:rPr>
              <w:t>*</w:t>
            </w:r>
            <w:r w:rsidRPr="004C0EBA">
              <w:t xml:space="preserve">    (0.148)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asian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-0.157   (0.186)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-0.192   (0.168)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-0.176   (0.165)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-0.181     (0.165)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age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0.00285 (0.00423)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0.00264 (0.00383)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0.00140 (0.00409)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0.00230 (0.00395)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badeg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-0.223</w:t>
            </w:r>
            <w:r w:rsidRPr="00F41365">
              <w:rPr>
                <w:vertAlign w:val="superscript"/>
              </w:rPr>
              <w:t>*</w:t>
            </w:r>
            <w:r w:rsidRPr="00F41365">
              <w:t xml:space="preserve">  (0.114)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-0.183   (0.118)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-0.154   (0.124)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-0.165     (0.122)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advdeg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-0.0484 (0.139)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-0.0528 (0.148)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-0.0127 (0.148)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-0.0512   (0.148)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somecoll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-0.0303 (0.149)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0.0133  (0.137)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-0.00263 (0.148)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0.0522    (0.147)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inclt50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0.267</w:t>
            </w:r>
            <w:r w:rsidRPr="00F41365">
              <w:rPr>
                <w:vertAlign w:val="superscript"/>
              </w:rPr>
              <w:t>**</w:t>
            </w:r>
            <w:r w:rsidRPr="00F41365">
              <w:t xml:space="preserve">  (0.131)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0.0790  (0.141)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0.0788  (0.158)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0.0431    (0.149)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inc50100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0.306</w:t>
            </w:r>
            <w:r w:rsidRPr="00F41365">
              <w:rPr>
                <w:vertAlign w:val="superscript"/>
              </w:rPr>
              <w:t>**</w:t>
            </w:r>
            <w:r w:rsidRPr="00F41365">
              <w:t xml:space="preserve">  (0.132)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0.157    (0.132)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0.183    (0.153)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0.137      (0.142)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unemp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0.367</w:t>
            </w:r>
            <w:r w:rsidRPr="00F41365">
              <w:rPr>
                <w:vertAlign w:val="superscript"/>
              </w:rPr>
              <w:t>**</w:t>
            </w:r>
            <w:r w:rsidRPr="00F41365">
              <w:t xml:space="preserve">  (0.180)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0.177    (0.109)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0.197    (0.136)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0.166      (0.107)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selfemp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0.235</w:t>
            </w:r>
            <w:r w:rsidRPr="00F41365">
              <w:rPr>
                <w:vertAlign w:val="superscript"/>
              </w:rPr>
              <w:t>*</w:t>
            </w:r>
            <w:r w:rsidRPr="00F41365">
              <w:t xml:space="preserve">   (0.139)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0.0873  (0.121)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0.115    (0.132)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0.0874    (0.121)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proofErr w:type="spellStart"/>
            <w:r w:rsidRPr="000B2995">
              <w:rPr>
                <w:i/>
              </w:rPr>
              <w:t>ninworkforce</w:t>
            </w:r>
            <w:proofErr w:type="spellEnd"/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0.0544  (0.107)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-0.0182 (0.101)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-0.0353 (0.100)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-0.0130   (0.101)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demos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-0.0823 (0.251)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-0.264</w:t>
            </w:r>
            <w:r w:rsidRPr="00395711">
              <w:rPr>
                <w:vertAlign w:val="superscript"/>
              </w:rPr>
              <w:t>***</w:t>
            </w:r>
            <w:r w:rsidRPr="00395711">
              <w:t xml:space="preserve"> (0.0655)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-0.248</w:t>
            </w:r>
            <w:r w:rsidRPr="007C710E">
              <w:rPr>
                <w:vertAlign w:val="superscript"/>
              </w:rPr>
              <w:t>*</w:t>
            </w:r>
            <w:r w:rsidRPr="007C710E">
              <w:t xml:space="preserve">  (0.137)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-0.253</w:t>
            </w:r>
            <w:r w:rsidRPr="004C0EBA">
              <w:rPr>
                <w:vertAlign w:val="superscript"/>
              </w:rPr>
              <w:t>***</w:t>
            </w:r>
            <w:r w:rsidRPr="004C0EBA">
              <w:t xml:space="preserve"> (0.0655)</w:t>
            </w:r>
          </w:p>
        </w:tc>
      </w:tr>
      <w:tr w:rsidR="004C0EBA" w:rsidTr="00766E56">
        <w:tc>
          <w:tcPr>
            <w:tcW w:w="2005" w:type="dxa"/>
            <w:vAlign w:val="center"/>
          </w:tcPr>
          <w:p w:rsidR="004C0EBA" w:rsidRPr="000B2995" w:rsidRDefault="004C0EBA" w:rsidP="00C84A7C">
            <w:pPr>
              <w:rPr>
                <w:i/>
              </w:rPr>
            </w:pPr>
            <w:r w:rsidRPr="000B2995">
              <w:rPr>
                <w:i/>
              </w:rPr>
              <w:t>setratio0</w:t>
            </w:r>
          </w:p>
        </w:tc>
        <w:tc>
          <w:tcPr>
            <w:tcW w:w="1892" w:type="dxa"/>
            <w:vAlign w:val="bottom"/>
          </w:tcPr>
          <w:p w:rsidR="004C0EBA" w:rsidRPr="00F41365" w:rsidRDefault="004C0EBA" w:rsidP="00F41365">
            <w:r w:rsidRPr="00F41365">
              <w:t>0.435</w:t>
            </w:r>
            <w:r w:rsidRPr="00F41365">
              <w:rPr>
                <w:vertAlign w:val="superscript"/>
              </w:rPr>
              <w:t>***</w:t>
            </w:r>
            <w:r w:rsidRPr="00F41365">
              <w:t xml:space="preserve"> (0.107)</w:t>
            </w:r>
          </w:p>
        </w:tc>
        <w:tc>
          <w:tcPr>
            <w:tcW w:w="1893" w:type="dxa"/>
            <w:vAlign w:val="bottom"/>
          </w:tcPr>
          <w:p w:rsidR="004C0EBA" w:rsidRPr="00395711" w:rsidRDefault="004C0EBA" w:rsidP="00395711">
            <w:r w:rsidRPr="00395711">
              <w:t>0.300</w:t>
            </w:r>
            <w:r w:rsidRPr="00395711">
              <w:rPr>
                <w:vertAlign w:val="superscript"/>
              </w:rPr>
              <w:t>***</w:t>
            </w:r>
            <w:r w:rsidRPr="00395711">
              <w:t xml:space="preserve"> (0.0421)</w:t>
            </w:r>
          </w:p>
        </w:tc>
        <w:tc>
          <w:tcPr>
            <w:tcW w:w="1893" w:type="dxa"/>
            <w:vAlign w:val="bottom"/>
          </w:tcPr>
          <w:p w:rsidR="004C0EBA" w:rsidRPr="007C710E" w:rsidRDefault="004C0EBA" w:rsidP="007C710E">
            <w:r w:rsidRPr="007C710E">
              <w:t>0.339</w:t>
            </w:r>
            <w:r w:rsidRPr="007C710E">
              <w:rPr>
                <w:vertAlign w:val="superscript"/>
              </w:rPr>
              <w:t>***</w:t>
            </w:r>
            <w:r w:rsidRPr="007C710E">
              <w:t xml:space="preserve"> (0.0528)</w:t>
            </w:r>
          </w:p>
        </w:tc>
        <w:tc>
          <w:tcPr>
            <w:tcW w:w="1893" w:type="dxa"/>
            <w:vAlign w:val="bottom"/>
          </w:tcPr>
          <w:p w:rsidR="004C0EBA" w:rsidRPr="004C0EBA" w:rsidRDefault="004C0EBA" w:rsidP="004C0EBA">
            <w:r w:rsidRPr="004C0EBA">
              <w:t>0.291</w:t>
            </w:r>
            <w:r w:rsidRPr="004C0EBA">
              <w:rPr>
                <w:vertAlign w:val="superscript"/>
              </w:rPr>
              <w:t>***</w:t>
            </w:r>
            <w:r w:rsidRPr="004C0EBA">
              <w:t xml:space="preserve"> (0.0419)</w:t>
            </w:r>
          </w:p>
        </w:tc>
      </w:tr>
      <w:tr w:rsidR="004C0EBA" w:rsidTr="00553328">
        <w:tc>
          <w:tcPr>
            <w:tcW w:w="2005" w:type="dxa"/>
          </w:tcPr>
          <w:p w:rsidR="004C0EBA" w:rsidRDefault="004C0EBA">
            <w:r>
              <w:t>Observations</w:t>
            </w:r>
          </w:p>
        </w:tc>
        <w:tc>
          <w:tcPr>
            <w:tcW w:w="1892" w:type="dxa"/>
            <w:vAlign w:val="center"/>
          </w:tcPr>
          <w:p w:rsidR="004C0EBA" w:rsidRPr="00FE1305" w:rsidRDefault="004C0EBA" w:rsidP="00244FA4">
            <w:r w:rsidRPr="00FE1305">
              <w:t>2296</w:t>
            </w:r>
          </w:p>
        </w:tc>
        <w:tc>
          <w:tcPr>
            <w:tcW w:w="1893" w:type="dxa"/>
            <w:vAlign w:val="center"/>
          </w:tcPr>
          <w:p w:rsidR="004C0EBA" w:rsidRPr="00FE1305" w:rsidRDefault="004C0EBA" w:rsidP="00244FA4">
            <w:r w:rsidRPr="00FE1305">
              <w:t>1560</w:t>
            </w:r>
          </w:p>
        </w:tc>
        <w:tc>
          <w:tcPr>
            <w:tcW w:w="1893" w:type="dxa"/>
            <w:vAlign w:val="center"/>
          </w:tcPr>
          <w:p w:rsidR="004C0EBA" w:rsidRPr="00FE1305" w:rsidRDefault="004C0EBA" w:rsidP="00244FA4">
            <w:r w:rsidRPr="00FE1305">
              <w:t>1641</w:t>
            </w:r>
          </w:p>
        </w:tc>
        <w:tc>
          <w:tcPr>
            <w:tcW w:w="1893" w:type="dxa"/>
            <w:vAlign w:val="center"/>
          </w:tcPr>
          <w:p w:rsidR="004C0EBA" w:rsidRDefault="004C0EBA" w:rsidP="00244FA4">
            <w:r w:rsidRPr="00FE1305">
              <w:t>1521</w:t>
            </w:r>
          </w:p>
        </w:tc>
      </w:tr>
    </w:tbl>
    <w:p w:rsidR="00553328" w:rsidRDefault="00553328">
      <w:pPr>
        <w:rPr>
          <w:i/>
          <w:sz w:val="20"/>
          <w:szCs w:val="20"/>
        </w:rPr>
      </w:pPr>
    </w:p>
    <w:p w:rsidR="00E95FA2" w:rsidRDefault="00E95FA2">
      <w:pPr>
        <w:rPr>
          <w:i/>
          <w:sz w:val="20"/>
          <w:szCs w:val="20"/>
        </w:rPr>
      </w:pPr>
      <w:r w:rsidRPr="00DD0316">
        <w:rPr>
          <w:i/>
          <w:sz w:val="20"/>
          <w:szCs w:val="20"/>
        </w:rPr>
        <w:t>Note</w:t>
      </w:r>
      <w:r w:rsidRPr="00DD0316">
        <w:rPr>
          <w:sz w:val="20"/>
          <w:szCs w:val="20"/>
        </w:rPr>
        <w:t>: Standard errors in parenthesis (</w:t>
      </w:r>
      <w:r w:rsidRPr="00E26D69">
        <w:rPr>
          <w:sz w:val="20"/>
          <w:szCs w:val="20"/>
        </w:rPr>
        <w:t>***</w:t>
      </w:r>
      <w:r w:rsidRPr="00DD0316">
        <w:rPr>
          <w:sz w:val="20"/>
          <w:szCs w:val="20"/>
        </w:rPr>
        <w:t xml:space="preserve"> significant at 1%; </w:t>
      </w:r>
      <w:r w:rsidRPr="00E26D69">
        <w:rPr>
          <w:sz w:val="20"/>
          <w:szCs w:val="20"/>
        </w:rPr>
        <w:t>**</w:t>
      </w:r>
      <w:r w:rsidRPr="00DD0316">
        <w:rPr>
          <w:sz w:val="20"/>
          <w:szCs w:val="20"/>
        </w:rPr>
        <w:t xml:space="preserve"> significant at 5%</w:t>
      </w:r>
      <w:bookmarkStart w:id="0" w:name="_GoBack"/>
      <w:bookmarkEnd w:id="0"/>
      <w:r w:rsidRPr="00DD0316">
        <w:rPr>
          <w:sz w:val="20"/>
          <w:szCs w:val="20"/>
        </w:rPr>
        <w:t xml:space="preserve">; </w:t>
      </w:r>
      <w:r w:rsidRPr="00E26D69">
        <w:rPr>
          <w:sz w:val="20"/>
          <w:szCs w:val="20"/>
        </w:rPr>
        <w:t>*</w:t>
      </w:r>
      <w:r w:rsidRPr="00DD0316">
        <w:rPr>
          <w:sz w:val="20"/>
          <w:szCs w:val="20"/>
        </w:rPr>
        <w:t xml:space="preserve"> significant at 10%).</w:t>
      </w:r>
      <w:r>
        <w:rPr>
          <w:sz w:val="20"/>
          <w:szCs w:val="20"/>
        </w:rPr>
        <w:t xml:space="preserve">  The variable </w:t>
      </w:r>
      <w:proofErr w:type="spellStart"/>
      <w:r w:rsidRPr="009E215B">
        <w:rPr>
          <w:i/>
          <w:sz w:val="20"/>
          <w:szCs w:val="20"/>
        </w:rPr>
        <w:t>infectriskratio</w:t>
      </w:r>
      <w:proofErr w:type="spellEnd"/>
      <w:r>
        <w:rPr>
          <w:sz w:val="20"/>
          <w:szCs w:val="20"/>
        </w:rPr>
        <w:t xml:space="preserve"> is set equal to 0 if the player had not yet chosen the risky action.</w:t>
      </w:r>
    </w:p>
    <w:sectPr w:rsidR="00E95FA2" w:rsidSect="00E5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15"/>
    <w:rsid w:val="000B2995"/>
    <w:rsid w:val="00101AD1"/>
    <w:rsid w:val="00102860"/>
    <w:rsid w:val="00105806"/>
    <w:rsid w:val="00107620"/>
    <w:rsid w:val="001116B0"/>
    <w:rsid w:val="00112186"/>
    <w:rsid w:val="001A6E5D"/>
    <w:rsid w:val="00244FA4"/>
    <w:rsid w:val="00287A15"/>
    <w:rsid w:val="00395711"/>
    <w:rsid w:val="003A1B1F"/>
    <w:rsid w:val="003A2CE3"/>
    <w:rsid w:val="003A2FBD"/>
    <w:rsid w:val="004162D2"/>
    <w:rsid w:val="00472802"/>
    <w:rsid w:val="004C0EBA"/>
    <w:rsid w:val="00510AD3"/>
    <w:rsid w:val="0053107F"/>
    <w:rsid w:val="00553328"/>
    <w:rsid w:val="005F5280"/>
    <w:rsid w:val="006618AA"/>
    <w:rsid w:val="00671DB2"/>
    <w:rsid w:val="006B2105"/>
    <w:rsid w:val="00710BF7"/>
    <w:rsid w:val="00782177"/>
    <w:rsid w:val="007C710E"/>
    <w:rsid w:val="00866AD3"/>
    <w:rsid w:val="0090794F"/>
    <w:rsid w:val="00913640"/>
    <w:rsid w:val="00926499"/>
    <w:rsid w:val="00954571"/>
    <w:rsid w:val="00963476"/>
    <w:rsid w:val="00986074"/>
    <w:rsid w:val="00991347"/>
    <w:rsid w:val="009B2461"/>
    <w:rsid w:val="009C158F"/>
    <w:rsid w:val="00A6278B"/>
    <w:rsid w:val="00A82645"/>
    <w:rsid w:val="00AF56C3"/>
    <w:rsid w:val="00B67CC3"/>
    <w:rsid w:val="00B74DE6"/>
    <w:rsid w:val="00C042DC"/>
    <w:rsid w:val="00C61F8E"/>
    <w:rsid w:val="00C815DB"/>
    <w:rsid w:val="00C82715"/>
    <w:rsid w:val="00C96401"/>
    <w:rsid w:val="00D00CBA"/>
    <w:rsid w:val="00D8691E"/>
    <w:rsid w:val="00DB1FCE"/>
    <w:rsid w:val="00DD0DBE"/>
    <w:rsid w:val="00E27813"/>
    <w:rsid w:val="00E53175"/>
    <w:rsid w:val="00E95FA2"/>
    <w:rsid w:val="00EC28DA"/>
    <w:rsid w:val="00F41365"/>
    <w:rsid w:val="00FA33E6"/>
    <w:rsid w:val="00F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332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5332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</dc:creator>
  <cp:lastModifiedBy>WFU</cp:lastModifiedBy>
  <cp:revision>8</cp:revision>
  <dcterms:created xsi:type="dcterms:W3CDTF">2012-11-28T17:37:00Z</dcterms:created>
  <dcterms:modified xsi:type="dcterms:W3CDTF">2012-11-28T17:45:00Z</dcterms:modified>
</cp:coreProperties>
</file>