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5" w:rsidRDefault="00A84AE5" w:rsidP="00A84AE5">
      <w:pPr>
        <w:spacing w:after="120" w:line="360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Table S2.</w:t>
      </w:r>
      <w:r w:rsidRPr="008671DF">
        <w:rPr>
          <w:rFonts w:cs="Arial"/>
          <w:b/>
          <w:lang w:val="en-GB"/>
        </w:rPr>
        <w:t xml:space="preserve"> </w:t>
      </w:r>
      <w:proofErr w:type="gramStart"/>
      <w:r w:rsidRPr="008671DF">
        <w:rPr>
          <w:rFonts w:cs="Arial"/>
          <w:b/>
          <w:lang w:val="en-GB"/>
        </w:rPr>
        <w:t xml:space="preserve">Use of </w:t>
      </w:r>
      <w:proofErr w:type="spellStart"/>
      <w:r w:rsidRPr="008671DF">
        <w:rPr>
          <w:rFonts w:cs="Arial"/>
          <w:b/>
          <w:lang w:val="en-GB"/>
        </w:rPr>
        <w:t>hESC</w:t>
      </w:r>
      <w:proofErr w:type="spellEnd"/>
      <w:r w:rsidRPr="008671DF">
        <w:rPr>
          <w:rFonts w:cs="Arial"/>
          <w:b/>
          <w:lang w:val="en-GB"/>
        </w:rPr>
        <w:t xml:space="preserve"> lines in research papers from Germany</w:t>
      </w:r>
      <w:r>
        <w:rPr>
          <w:rFonts w:cs="Arial"/>
          <w:b/>
          <w:lang w:val="en-GB"/>
        </w:rPr>
        <w:t>.</w:t>
      </w:r>
      <w:proofErr w:type="gramEnd"/>
    </w:p>
    <w:p w:rsidR="00A84AE5" w:rsidRDefault="00A84AE5" w:rsidP="00A84AE5">
      <w:pPr>
        <w:spacing w:after="120" w:line="360" w:lineRule="auto"/>
        <w:jc w:val="both"/>
      </w:pPr>
      <w:r w:rsidRPr="00E1228C">
        <w:rPr>
          <w:rFonts w:cs="Arial"/>
          <w:lang w:val="en-GB"/>
        </w:rPr>
        <w:t xml:space="preserve">Only cell lines that were used in at least two studies are listed. Numbers in brackets indicate the </w:t>
      </w:r>
      <w:r>
        <w:rPr>
          <w:rFonts w:cs="Arial"/>
          <w:lang w:val="en-GB"/>
        </w:rPr>
        <w:t xml:space="preserve">percentage </w:t>
      </w:r>
      <w:r w:rsidRPr="00E1228C">
        <w:rPr>
          <w:rFonts w:cs="Arial"/>
          <w:lang w:val="en-GB"/>
        </w:rPr>
        <w:t xml:space="preserve">share </w:t>
      </w:r>
      <w:r>
        <w:rPr>
          <w:rFonts w:cs="Arial"/>
          <w:lang w:val="en-GB"/>
        </w:rPr>
        <w:t>of</w:t>
      </w:r>
      <w:r w:rsidRPr="00E1228C">
        <w:rPr>
          <w:rFonts w:cs="Arial"/>
          <w:lang w:val="en-GB"/>
        </w:rPr>
        <w:t xml:space="preserve"> the 56 </w:t>
      </w:r>
      <w:proofErr w:type="spellStart"/>
      <w:r w:rsidRPr="00E1228C">
        <w:rPr>
          <w:rFonts w:cs="Arial"/>
          <w:lang w:val="en-GB"/>
        </w:rPr>
        <w:t>hESC</w:t>
      </w:r>
      <w:proofErr w:type="spellEnd"/>
      <w:r w:rsidRPr="00E1228C">
        <w:rPr>
          <w:rFonts w:cs="Arial"/>
          <w:lang w:val="en-GB"/>
        </w:rPr>
        <w:t xml:space="preserve"> research papers from Germany published </w:t>
      </w:r>
      <w:r>
        <w:rPr>
          <w:rFonts w:cs="Arial"/>
          <w:lang w:val="en-GB"/>
        </w:rPr>
        <w:t>through the end of</w:t>
      </w:r>
      <w:r w:rsidRPr="00E1228C">
        <w:rPr>
          <w:rFonts w:cs="Arial"/>
          <w:lang w:val="en-GB"/>
        </w:rPr>
        <w:t xml:space="preserve"> 2011.</w:t>
      </w:r>
      <w:r>
        <w:rPr>
          <w:rFonts w:cs="Arial"/>
          <w:lang w:val="en-GB"/>
        </w:rPr>
        <w:t xml:space="preserve"> </w:t>
      </w:r>
      <w:r>
        <w:rPr>
          <w:lang w:val="en-GB"/>
        </w:rPr>
        <w:t xml:space="preserve">Of all the </w:t>
      </w:r>
      <w:proofErr w:type="spellStart"/>
      <w:r>
        <w:rPr>
          <w:lang w:val="en-GB"/>
        </w:rPr>
        <w:t>hESC</w:t>
      </w:r>
      <w:proofErr w:type="spellEnd"/>
      <w:r>
        <w:rPr>
          <w:lang w:val="en-GB"/>
        </w:rPr>
        <w:t xml:space="preserve"> lines that </w:t>
      </w:r>
      <w:r w:rsidRPr="00E1228C">
        <w:rPr>
          <w:lang w:val="en-GB"/>
        </w:rPr>
        <w:t xml:space="preserve">became accessible </w:t>
      </w:r>
      <w:r>
        <w:rPr>
          <w:lang w:val="en-GB"/>
        </w:rPr>
        <w:t>to</w:t>
      </w:r>
      <w:r w:rsidRPr="00E1228C">
        <w:rPr>
          <w:lang w:val="en-GB"/>
        </w:rPr>
        <w:t xml:space="preserve"> German </w:t>
      </w:r>
      <w:r>
        <w:rPr>
          <w:lang w:val="en-GB"/>
        </w:rPr>
        <w:t>scientists</w:t>
      </w:r>
      <w:r w:rsidRPr="00E1228C">
        <w:rPr>
          <w:lang w:val="en-GB"/>
        </w:rPr>
        <w:t xml:space="preserve"> after the amendment of the </w:t>
      </w:r>
      <w:r>
        <w:rPr>
          <w:lang w:val="en-GB"/>
        </w:rPr>
        <w:t xml:space="preserve">German </w:t>
      </w:r>
      <w:r w:rsidRPr="00E1228C">
        <w:rPr>
          <w:lang w:val="en-GB"/>
        </w:rPr>
        <w:t>Stem Cell Act in 2008</w:t>
      </w:r>
      <w:r>
        <w:rPr>
          <w:lang w:val="en-GB"/>
        </w:rPr>
        <w:t xml:space="preserve">, only one </w:t>
      </w:r>
      <w:r w:rsidRPr="00E1228C">
        <w:rPr>
          <w:lang w:val="en-GB"/>
        </w:rPr>
        <w:t>(HUES</w:t>
      </w:r>
      <w:r>
        <w:rPr>
          <w:lang w:val="en-GB"/>
        </w:rPr>
        <w:t>2</w:t>
      </w:r>
      <w:r w:rsidRPr="00E1228C">
        <w:rPr>
          <w:lang w:val="en-GB"/>
        </w:rPr>
        <w:t>) was used in more than one published study</w:t>
      </w:r>
      <w:r>
        <w:rPr>
          <w:lang w:val="en-GB"/>
        </w:rPr>
        <w:t xml:space="preserve"> (note that prior to 2008 u</w:t>
      </w:r>
      <w:r w:rsidRPr="00E1228C">
        <w:rPr>
          <w:rFonts w:cs="Arial"/>
          <w:lang w:val="en-GB"/>
        </w:rPr>
        <w:t xml:space="preserve">se of </w:t>
      </w:r>
      <w:proofErr w:type="spellStart"/>
      <w:r w:rsidRPr="00E1228C">
        <w:rPr>
          <w:rFonts w:cs="Arial"/>
          <w:lang w:val="en-GB"/>
        </w:rPr>
        <w:t>hESC</w:t>
      </w:r>
      <w:proofErr w:type="spellEnd"/>
      <w:r w:rsidRPr="00E1228C">
        <w:rPr>
          <w:rFonts w:cs="Arial"/>
          <w:lang w:val="en-GB"/>
        </w:rPr>
        <w:t xml:space="preserve"> lines in Germany was restricted </w:t>
      </w:r>
      <w:r>
        <w:rPr>
          <w:rFonts w:cs="Arial"/>
          <w:lang w:val="en-GB"/>
        </w:rPr>
        <w:t xml:space="preserve">in principal </w:t>
      </w:r>
      <w:r w:rsidRPr="00E1228C">
        <w:rPr>
          <w:rFonts w:cs="Arial"/>
          <w:lang w:val="en-GB"/>
        </w:rPr>
        <w:t xml:space="preserve">to </w:t>
      </w:r>
      <w:r>
        <w:rPr>
          <w:rFonts w:cs="Arial"/>
          <w:lang w:val="en-GB"/>
        </w:rPr>
        <w:t>those lines formerly approved by the NIH)</w:t>
      </w:r>
      <w:r w:rsidRPr="00E1228C">
        <w:rPr>
          <w:rFonts w:cs="Arial"/>
          <w:lang w:val="en-GB"/>
        </w:rPr>
        <w:t xml:space="preserve">. </w:t>
      </w:r>
      <w:r>
        <w:rPr>
          <w:lang w:val="en-GB"/>
        </w:rPr>
        <w:t xml:space="preserve">In most studies more than one </w:t>
      </w:r>
      <w:proofErr w:type="spellStart"/>
      <w:r>
        <w:rPr>
          <w:lang w:val="en-GB"/>
        </w:rPr>
        <w:t>hESC</w:t>
      </w:r>
      <w:proofErr w:type="spellEnd"/>
      <w:r>
        <w:rPr>
          <w:lang w:val="en-GB"/>
        </w:rPr>
        <w:t xml:space="preserve"> line is used;</w:t>
      </w:r>
      <w:r w:rsidRPr="008C63F8">
        <w:rPr>
          <w:lang w:val="en-GB"/>
        </w:rPr>
        <w:t xml:space="preserve"> </w:t>
      </w:r>
      <w:r>
        <w:rPr>
          <w:lang w:val="en-GB"/>
        </w:rPr>
        <w:t>thus the percentages add up to more than 100.</w:t>
      </w:r>
    </w:p>
    <w:p w:rsidR="00A84AE5" w:rsidRDefault="00A84AE5" w:rsidP="00A84AE5">
      <w:pPr>
        <w:pStyle w:val="Paragraph"/>
        <w:spacing w:before="0" w:after="120" w:line="360" w:lineRule="auto"/>
        <w:ind w:firstLine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5940"/>
      </w:tblGrid>
      <w:tr w:rsidR="00A84AE5" w:rsidRPr="00E1228C" w:rsidTr="002F4359">
        <w:trPr>
          <w:trHeight w:val="680"/>
        </w:trPr>
        <w:tc>
          <w:tcPr>
            <w:tcW w:w="34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</w:rPr>
            </w:pPr>
            <w:r w:rsidRPr="00E1228C">
              <w:rPr>
                <w:rFonts w:eastAsia="Times New Roman" w:cs="Arial"/>
                <w:b/>
              </w:rPr>
              <w:t>Cell Line</w:t>
            </w:r>
          </w:p>
        </w:tc>
        <w:tc>
          <w:tcPr>
            <w:tcW w:w="59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b/>
                <w:lang w:val="en-GB"/>
              </w:rPr>
              <w:t xml:space="preserve">Numbers of studies involving the </w:t>
            </w:r>
            <w:proofErr w:type="spellStart"/>
            <w:r w:rsidRPr="00E1228C">
              <w:rPr>
                <w:rFonts w:eastAsia="Times New Roman" w:cs="Arial"/>
                <w:b/>
                <w:lang w:val="en-GB"/>
              </w:rPr>
              <w:t>hESC</w:t>
            </w:r>
            <w:proofErr w:type="spellEnd"/>
            <w:r w:rsidRPr="00E1228C">
              <w:rPr>
                <w:rFonts w:eastAsia="Times New Roman" w:cs="Arial"/>
                <w:b/>
                <w:lang w:val="en-GB"/>
              </w:rPr>
              <w:t xml:space="preserve"> line indicated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H9 (</w:t>
            </w:r>
            <w:proofErr w:type="spellStart"/>
            <w:r w:rsidRPr="00E1228C">
              <w:rPr>
                <w:rFonts w:eastAsia="Times New Roman" w:cs="Arial"/>
                <w:lang w:val="en-GB"/>
              </w:rPr>
              <w:t>WiCell</w:t>
            </w:r>
            <w:proofErr w:type="spellEnd"/>
            <w:r w:rsidRPr="00E1228C">
              <w:rPr>
                <w:rFonts w:eastAsia="Times New Roman" w:cs="Arial"/>
                <w:lang w:val="en-GB"/>
              </w:rPr>
              <w:t>)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36 (64.3 %)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H1 (</w:t>
            </w:r>
            <w:proofErr w:type="spellStart"/>
            <w:r w:rsidRPr="00E1228C">
              <w:rPr>
                <w:rFonts w:eastAsia="Times New Roman" w:cs="Arial"/>
                <w:lang w:val="en-GB"/>
              </w:rPr>
              <w:t>WiCell</w:t>
            </w:r>
            <w:proofErr w:type="spellEnd"/>
            <w:r w:rsidRPr="00E1228C">
              <w:rPr>
                <w:rFonts w:eastAsia="Times New Roman" w:cs="Arial"/>
                <w:lang w:val="en-GB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26 (46.4 %)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I3 (</w:t>
            </w:r>
            <w:proofErr w:type="spellStart"/>
            <w:r w:rsidRPr="00E1228C">
              <w:rPr>
                <w:rFonts w:eastAsia="Times New Roman" w:cs="Arial"/>
                <w:lang w:val="en-GB"/>
              </w:rPr>
              <w:t>Technion</w:t>
            </w:r>
            <w:proofErr w:type="spellEnd"/>
            <w:r w:rsidRPr="00E1228C">
              <w:rPr>
                <w:rFonts w:eastAsia="Times New Roman" w:cs="Arial"/>
                <w:lang w:val="en-GB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6 (10.7 %)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HES-3 (ESI, Singapore)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4 (7.1 %)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HES-2 (ESI, Singapore)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3 (5.4 %)</w:t>
            </w:r>
          </w:p>
        </w:tc>
      </w:tr>
      <w:tr w:rsidR="00A84AE5" w:rsidRPr="00E1228C" w:rsidTr="002F4359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F860D3">
              <w:rPr>
                <w:rFonts w:eastAsia="Times New Roman" w:cs="Arial"/>
                <w:lang w:val="en-GB"/>
              </w:rPr>
              <w:t>HUES2</w:t>
            </w:r>
            <w:r w:rsidRPr="00E1228C">
              <w:rPr>
                <w:rFonts w:eastAsia="Times New Roman" w:cs="Arial"/>
                <w:lang w:val="en-GB"/>
              </w:rPr>
              <w:t xml:space="preserve"> (Harvard University)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84AE5" w:rsidRDefault="00A84AE5" w:rsidP="002F4359">
            <w:pPr>
              <w:spacing w:line="360" w:lineRule="auto"/>
              <w:ind w:right="1701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4F81BD" w:themeColor="accent1"/>
                <w:lang w:val="en-GB"/>
              </w:rPr>
            </w:pPr>
            <w:r w:rsidRPr="00E1228C">
              <w:rPr>
                <w:rFonts w:eastAsia="Times New Roman" w:cs="Arial"/>
                <w:lang w:val="en-GB"/>
              </w:rPr>
              <w:t>2 (3.6 %)</w:t>
            </w:r>
          </w:p>
        </w:tc>
      </w:tr>
    </w:tbl>
    <w:p w:rsidR="00A84AE5" w:rsidRDefault="00A84AE5" w:rsidP="00A84AE5">
      <w:pPr>
        <w:spacing w:line="360" w:lineRule="auto"/>
        <w:jc w:val="both"/>
        <w:rPr>
          <w:rFonts w:ascii="Arial" w:hAnsi="Arial"/>
          <w:sz w:val="22"/>
        </w:rPr>
      </w:pPr>
    </w:p>
    <w:p w:rsidR="002D0DC3" w:rsidRDefault="002D0DC3"/>
    <w:sectPr w:rsidR="002D0DC3" w:rsidSect="00F2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A84AE5"/>
    <w:rsid w:val="000915EF"/>
    <w:rsid w:val="002D0DC3"/>
    <w:rsid w:val="0036150E"/>
    <w:rsid w:val="005D7D7F"/>
    <w:rsid w:val="00840AA4"/>
    <w:rsid w:val="00A84AE5"/>
    <w:rsid w:val="00DE374C"/>
    <w:rsid w:val="00F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5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4AE5"/>
    <w:pPr>
      <w:spacing w:before="120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1</cp:revision>
  <dcterms:created xsi:type="dcterms:W3CDTF">2012-12-04T17:48:00Z</dcterms:created>
  <dcterms:modified xsi:type="dcterms:W3CDTF">2012-12-04T17:49:00Z</dcterms:modified>
</cp:coreProperties>
</file>