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62"/>
        <w:gridCol w:w="1714"/>
        <w:gridCol w:w="1713"/>
        <w:gridCol w:w="1713"/>
        <w:gridCol w:w="1714"/>
      </w:tblGrid>
      <w:tr w:rsidR="009852B0" w:rsidTr="00E53412">
        <w:tc>
          <w:tcPr>
            <w:tcW w:w="1915" w:type="dxa"/>
          </w:tcPr>
          <w:p w:rsidR="009852B0" w:rsidRDefault="009852B0" w:rsidP="00E53412">
            <w:pPr>
              <w:pStyle w:val="normal0"/>
            </w:pPr>
          </w:p>
        </w:tc>
        <w:tc>
          <w:tcPr>
            <w:tcW w:w="1915" w:type="dxa"/>
          </w:tcPr>
          <w:p w:rsidR="009852B0" w:rsidRDefault="009852B0" w:rsidP="00E53412">
            <w:pPr>
              <w:pStyle w:val="normal0"/>
            </w:pPr>
            <w:r>
              <w:t>Fe</w:t>
            </w:r>
          </w:p>
        </w:tc>
        <w:tc>
          <w:tcPr>
            <w:tcW w:w="1915" w:type="dxa"/>
          </w:tcPr>
          <w:p w:rsidR="009852B0" w:rsidRDefault="009852B0" w:rsidP="00E53412">
            <w:pPr>
              <w:pStyle w:val="normal0"/>
            </w:pPr>
            <w:r>
              <w:t>O</w:t>
            </w:r>
          </w:p>
        </w:tc>
        <w:tc>
          <w:tcPr>
            <w:tcW w:w="1915" w:type="dxa"/>
          </w:tcPr>
          <w:p w:rsidR="009852B0" w:rsidRDefault="009852B0" w:rsidP="00E53412">
            <w:pPr>
              <w:pStyle w:val="normal0"/>
            </w:pPr>
            <w:proofErr w:type="spellStart"/>
            <w:r>
              <w:t>Por</w:t>
            </w:r>
            <w:proofErr w:type="spellEnd"/>
          </w:p>
        </w:tc>
        <w:tc>
          <w:tcPr>
            <w:tcW w:w="1916" w:type="dxa"/>
          </w:tcPr>
          <w:p w:rsidR="009852B0" w:rsidRDefault="009852B0" w:rsidP="00E53412">
            <w:pPr>
              <w:pStyle w:val="normal0"/>
            </w:pPr>
            <w:proofErr w:type="spellStart"/>
            <w:r>
              <w:t>SMe</w:t>
            </w:r>
            <w:proofErr w:type="spellEnd"/>
          </w:p>
        </w:tc>
      </w:tr>
      <w:tr w:rsidR="009852B0" w:rsidTr="00E53412">
        <w:tc>
          <w:tcPr>
            <w:tcW w:w="1915" w:type="dxa"/>
          </w:tcPr>
          <w:p w:rsidR="009852B0" w:rsidRDefault="009852B0" w:rsidP="00E53412">
            <w:pPr>
              <w:pStyle w:val="normal0"/>
            </w:pPr>
            <w:r>
              <w:t>M</w:t>
            </w:r>
            <w:r w:rsidRPr="00B421A3">
              <w:rPr>
                <w:vertAlign w:val="subscript"/>
              </w:rPr>
              <w:t>R</w:t>
            </w:r>
          </w:p>
        </w:tc>
        <w:tc>
          <w:tcPr>
            <w:tcW w:w="1915" w:type="dxa"/>
          </w:tcPr>
          <w:p w:rsidR="009852B0" w:rsidRDefault="009852B0" w:rsidP="00E53412">
            <w:pPr>
              <w:pStyle w:val="normal0"/>
            </w:pPr>
            <w:r>
              <w:t>0.55 (0.03)</w:t>
            </w:r>
          </w:p>
        </w:tc>
        <w:tc>
          <w:tcPr>
            <w:tcW w:w="1915" w:type="dxa"/>
          </w:tcPr>
          <w:p w:rsidR="009852B0" w:rsidRDefault="009852B0" w:rsidP="00E53412">
            <w:pPr>
              <w:pStyle w:val="normal0"/>
            </w:pPr>
            <w:r>
              <w:t>-0.41 (0.05)</w:t>
            </w:r>
          </w:p>
        </w:tc>
        <w:tc>
          <w:tcPr>
            <w:tcW w:w="1915" w:type="dxa"/>
          </w:tcPr>
          <w:p w:rsidR="009852B0" w:rsidRDefault="009852B0" w:rsidP="00E53412">
            <w:pPr>
              <w:pStyle w:val="normal0"/>
            </w:pPr>
            <w:r>
              <w:t>-0.05 (0.06)</w:t>
            </w:r>
          </w:p>
        </w:tc>
        <w:tc>
          <w:tcPr>
            <w:tcW w:w="1916" w:type="dxa"/>
          </w:tcPr>
          <w:p w:rsidR="009852B0" w:rsidRDefault="009852B0" w:rsidP="00E53412">
            <w:pPr>
              <w:pStyle w:val="normal0"/>
            </w:pPr>
            <w:r>
              <w:t>-0.09 (0.03)</w:t>
            </w:r>
          </w:p>
        </w:tc>
      </w:tr>
      <w:tr w:rsidR="009852B0" w:rsidTr="00E53412">
        <w:tc>
          <w:tcPr>
            <w:tcW w:w="1915" w:type="dxa"/>
          </w:tcPr>
          <w:p w:rsidR="009852B0" w:rsidRDefault="009852B0" w:rsidP="00E53412">
            <w:pPr>
              <w:pStyle w:val="normal0"/>
            </w:pPr>
            <w:r>
              <w:t>M</w:t>
            </w:r>
            <w:r w:rsidRPr="00B421A3">
              <w:rPr>
                <w:vertAlign w:val="subscript"/>
              </w:rPr>
              <w:t>A</w:t>
            </w:r>
          </w:p>
        </w:tc>
        <w:tc>
          <w:tcPr>
            <w:tcW w:w="1915" w:type="dxa"/>
          </w:tcPr>
          <w:p w:rsidR="009852B0" w:rsidRDefault="009852B0" w:rsidP="00E53412">
            <w:pPr>
              <w:pStyle w:val="normal0"/>
            </w:pPr>
            <w:r>
              <w:t>0.54 (0.04)</w:t>
            </w:r>
          </w:p>
        </w:tc>
        <w:tc>
          <w:tcPr>
            <w:tcW w:w="1915" w:type="dxa"/>
          </w:tcPr>
          <w:p w:rsidR="009852B0" w:rsidRDefault="009852B0" w:rsidP="00E53412">
            <w:pPr>
              <w:pStyle w:val="normal0"/>
            </w:pPr>
            <w:r>
              <w:t>-0.45 (0.06)</w:t>
            </w:r>
          </w:p>
        </w:tc>
        <w:tc>
          <w:tcPr>
            <w:tcW w:w="1915" w:type="dxa"/>
          </w:tcPr>
          <w:p w:rsidR="009852B0" w:rsidRDefault="009852B0" w:rsidP="00E53412">
            <w:pPr>
              <w:pStyle w:val="normal0"/>
            </w:pPr>
            <w:r>
              <w:t>-0.02 (0.07)</w:t>
            </w:r>
          </w:p>
        </w:tc>
        <w:tc>
          <w:tcPr>
            <w:tcW w:w="1916" w:type="dxa"/>
          </w:tcPr>
          <w:p w:rsidR="009852B0" w:rsidRDefault="009852B0" w:rsidP="00E53412">
            <w:pPr>
              <w:pStyle w:val="normal0"/>
            </w:pPr>
            <w:r>
              <w:t>-0.07 (0.07)</w:t>
            </w:r>
          </w:p>
        </w:tc>
      </w:tr>
      <w:tr w:rsidR="009852B0" w:rsidTr="00E53412">
        <w:tc>
          <w:tcPr>
            <w:tcW w:w="1915" w:type="dxa"/>
          </w:tcPr>
          <w:p w:rsidR="009852B0" w:rsidRDefault="009852B0" w:rsidP="00E53412">
            <w:pPr>
              <w:pStyle w:val="normal0"/>
            </w:pPr>
            <w:r>
              <w:t>S</w:t>
            </w:r>
            <w:r w:rsidRPr="00B421A3">
              <w:rPr>
                <w:vertAlign w:val="subscript"/>
              </w:rPr>
              <w:t>R</w:t>
            </w:r>
          </w:p>
        </w:tc>
        <w:tc>
          <w:tcPr>
            <w:tcW w:w="1915" w:type="dxa"/>
          </w:tcPr>
          <w:p w:rsidR="009852B0" w:rsidRDefault="009852B0" w:rsidP="00E53412">
            <w:pPr>
              <w:pStyle w:val="normal0"/>
            </w:pPr>
            <w:r>
              <w:t>0.53 (0.03)</w:t>
            </w:r>
          </w:p>
        </w:tc>
        <w:tc>
          <w:tcPr>
            <w:tcW w:w="1915" w:type="dxa"/>
          </w:tcPr>
          <w:p w:rsidR="009852B0" w:rsidRDefault="009852B0" w:rsidP="00E53412">
            <w:pPr>
              <w:pStyle w:val="normal0"/>
            </w:pPr>
            <w:r>
              <w:t>-0.41 (0.01)</w:t>
            </w:r>
          </w:p>
        </w:tc>
        <w:tc>
          <w:tcPr>
            <w:tcW w:w="1915" w:type="dxa"/>
          </w:tcPr>
          <w:p w:rsidR="009852B0" w:rsidRDefault="009852B0" w:rsidP="00E53412">
            <w:pPr>
              <w:pStyle w:val="normal0"/>
            </w:pPr>
            <w:r>
              <w:t>-0.04 (0.05)</w:t>
            </w:r>
          </w:p>
        </w:tc>
        <w:tc>
          <w:tcPr>
            <w:tcW w:w="1916" w:type="dxa"/>
          </w:tcPr>
          <w:p w:rsidR="009852B0" w:rsidRDefault="009852B0" w:rsidP="00E53412">
            <w:pPr>
              <w:pStyle w:val="normal0"/>
            </w:pPr>
            <w:r>
              <w:t>-0.08 (0.04)</w:t>
            </w:r>
          </w:p>
        </w:tc>
      </w:tr>
      <w:tr w:rsidR="009852B0" w:rsidTr="00E53412">
        <w:tc>
          <w:tcPr>
            <w:tcW w:w="1915" w:type="dxa"/>
          </w:tcPr>
          <w:p w:rsidR="009852B0" w:rsidRDefault="009852B0" w:rsidP="00E53412">
            <w:pPr>
              <w:pStyle w:val="normal0"/>
            </w:pPr>
            <w:r>
              <w:t>S</w:t>
            </w:r>
            <w:r w:rsidRPr="00B421A3">
              <w:rPr>
                <w:vertAlign w:val="subscript"/>
              </w:rPr>
              <w:t>A</w:t>
            </w:r>
          </w:p>
        </w:tc>
        <w:tc>
          <w:tcPr>
            <w:tcW w:w="1915" w:type="dxa"/>
          </w:tcPr>
          <w:p w:rsidR="009852B0" w:rsidRDefault="009852B0" w:rsidP="00E53412">
            <w:pPr>
              <w:pStyle w:val="normal0"/>
            </w:pPr>
            <w:r>
              <w:t>0.55 (0.03)</w:t>
            </w:r>
          </w:p>
        </w:tc>
        <w:tc>
          <w:tcPr>
            <w:tcW w:w="1915" w:type="dxa"/>
          </w:tcPr>
          <w:p w:rsidR="009852B0" w:rsidRDefault="009852B0" w:rsidP="00E53412">
            <w:pPr>
              <w:pStyle w:val="normal0"/>
            </w:pPr>
            <w:r>
              <w:t>-0.45 (0.04)</w:t>
            </w:r>
          </w:p>
        </w:tc>
        <w:tc>
          <w:tcPr>
            <w:tcW w:w="1915" w:type="dxa"/>
          </w:tcPr>
          <w:p w:rsidR="009852B0" w:rsidRDefault="009852B0" w:rsidP="00E53412">
            <w:pPr>
              <w:pStyle w:val="normal0"/>
            </w:pPr>
            <w:r>
              <w:t>0.00 (0.06)</w:t>
            </w:r>
          </w:p>
        </w:tc>
        <w:tc>
          <w:tcPr>
            <w:tcW w:w="1916" w:type="dxa"/>
          </w:tcPr>
          <w:p w:rsidR="009852B0" w:rsidRDefault="009852B0" w:rsidP="00E53412">
            <w:pPr>
              <w:pStyle w:val="normal0"/>
            </w:pPr>
            <w:r>
              <w:t>-0.10 (0.06)</w:t>
            </w:r>
          </w:p>
        </w:tc>
      </w:tr>
    </w:tbl>
    <w:p w:rsidR="009852B0" w:rsidRDefault="009852B0" w:rsidP="009852B0">
      <w:pPr>
        <w:pStyle w:val="normal0"/>
      </w:pPr>
      <w:r>
        <w:t xml:space="preserve">Table S3. Average values of the </w:t>
      </w:r>
      <w:proofErr w:type="spellStart"/>
      <w:r>
        <w:t>Mulliken</w:t>
      </w:r>
      <w:proofErr w:type="spellEnd"/>
      <w:r>
        <w:t xml:space="preserve"> atomic charges computed for the membrane-bound and solubilized CYP3A4 with R-warfarin bound (M</w:t>
      </w:r>
      <w:r w:rsidRPr="00617A27">
        <w:rPr>
          <w:vertAlign w:val="subscript"/>
        </w:rPr>
        <w:t>R</w:t>
      </w:r>
      <w:r>
        <w:t xml:space="preserve"> and S</w:t>
      </w:r>
      <w:r w:rsidRPr="00617A27">
        <w:rPr>
          <w:vertAlign w:val="subscript"/>
        </w:rPr>
        <w:t>R</w:t>
      </w:r>
      <w:r>
        <w:t>, respectively) and without warfarin bound (M</w:t>
      </w:r>
      <w:r w:rsidRPr="00617A27">
        <w:rPr>
          <w:vertAlign w:val="subscript"/>
        </w:rPr>
        <w:t>A</w:t>
      </w:r>
      <w:r>
        <w:t xml:space="preserve"> and S</w:t>
      </w:r>
      <w:r w:rsidRPr="00617A27">
        <w:rPr>
          <w:vertAlign w:val="subscript"/>
        </w:rPr>
        <w:t>A</w:t>
      </w:r>
      <w:r>
        <w:t>, respectively) optimized at the B3LYP-D</w:t>
      </w:r>
      <w:proofErr w:type="gramStart"/>
      <w:r>
        <w:t>:6</w:t>
      </w:r>
      <w:proofErr w:type="gramEnd"/>
      <w:r>
        <w:t>-31G/CHARMM27 level of theory (average values are displayed in Figure 6A). Calculated for 15 structures optimized at 5ns intervals over the last 20 ns of three 50 ns atomistic MD simulations. Standard deviations are given in parentheses.</w:t>
      </w:r>
    </w:p>
    <w:p w:rsidR="00C958D6" w:rsidRDefault="00C958D6">
      <w:bookmarkStart w:id="0" w:name="_GoBack"/>
      <w:bookmarkEnd w:id="0"/>
    </w:p>
    <w:sectPr w:rsidR="00C958D6" w:rsidSect="00F15A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B0"/>
    <w:rsid w:val="009852B0"/>
    <w:rsid w:val="00C958D6"/>
    <w:rsid w:val="00F1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01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B0"/>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52B0"/>
    <w:pPr>
      <w:widowControl w:val="0"/>
      <w:spacing w:line="276" w:lineRule="auto"/>
    </w:pPr>
    <w:rPr>
      <w:rFonts w:ascii="Arial" w:eastAsia="Arial" w:hAnsi="Arial" w:cs="Arial"/>
      <w:color w:val="000000"/>
      <w:sz w:val="22"/>
      <w:szCs w:val="22"/>
      <w:lang w:eastAsia="ja-JP"/>
    </w:rPr>
  </w:style>
  <w:style w:type="table" w:styleId="TableGrid">
    <w:name w:val="Table Grid"/>
    <w:basedOn w:val="TableNormal"/>
    <w:uiPriority w:val="59"/>
    <w:rsid w:val="009852B0"/>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B0"/>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52B0"/>
    <w:pPr>
      <w:widowControl w:val="0"/>
      <w:spacing w:line="276" w:lineRule="auto"/>
    </w:pPr>
    <w:rPr>
      <w:rFonts w:ascii="Arial" w:eastAsia="Arial" w:hAnsi="Arial" w:cs="Arial"/>
      <w:color w:val="000000"/>
      <w:sz w:val="22"/>
      <w:szCs w:val="22"/>
      <w:lang w:eastAsia="ja-JP"/>
    </w:rPr>
  </w:style>
  <w:style w:type="table" w:styleId="TableGrid">
    <w:name w:val="Table Grid"/>
    <w:basedOn w:val="TableNormal"/>
    <w:uiPriority w:val="59"/>
    <w:rsid w:val="009852B0"/>
    <w:rPr>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Macintosh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Lonsdale</dc:creator>
  <cp:keywords/>
  <dc:description/>
  <cp:lastModifiedBy>Richard Lonsdale</cp:lastModifiedBy>
  <cp:revision>1</cp:revision>
  <dcterms:created xsi:type="dcterms:W3CDTF">2014-04-24T11:17:00Z</dcterms:created>
  <dcterms:modified xsi:type="dcterms:W3CDTF">2014-04-24T11:17:00Z</dcterms:modified>
</cp:coreProperties>
</file>