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BA" w:rsidRPr="000C4EFF" w:rsidRDefault="004D7ABA" w:rsidP="00BA4511">
      <w:pPr>
        <w:spacing w:after="0"/>
        <w:ind w:right="66"/>
        <w:rPr>
          <w:rFonts w:ascii="Times New Roman" w:hAnsi="Times New Roman"/>
        </w:rPr>
      </w:pPr>
      <w:r w:rsidRPr="000C4EFF">
        <w:rPr>
          <w:rFonts w:ascii="Times New Roman" w:hAnsi="Times New Roman"/>
          <w:b/>
        </w:rPr>
        <w:t xml:space="preserve">Table </w:t>
      </w:r>
      <w:r w:rsidR="007740D7" w:rsidRPr="000C4EFF">
        <w:rPr>
          <w:rFonts w:ascii="Times New Roman" w:hAnsi="Times New Roman"/>
          <w:b/>
        </w:rPr>
        <w:t>S1</w:t>
      </w:r>
      <w:r w:rsidRPr="000C4EFF">
        <w:rPr>
          <w:rFonts w:ascii="Times New Roman" w:hAnsi="Times New Roman"/>
        </w:rPr>
        <w:t xml:space="preserve">. </w:t>
      </w:r>
      <w:r w:rsidR="007740D7" w:rsidRPr="000C4EFF">
        <w:rPr>
          <w:rFonts w:ascii="Times New Roman" w:hAnsi="Times New Roman"/>
        </w:rPr>
        <w:t xml:space="preserve">Mapping </w:t>
      </w:r>
      <w:r w:rsidR="00043800" w:rsidRPr="000C4EFF">
        <w:rPr>
          <w:rFonts w:ascii="Times New Roman" w:hAnsi="Times New Roman"/>
        </w:rPr>
        <w:t xml:space="preserve">specificities of the </w:t>
      </w:r>
      <w:r w:rsidR="007740D7" w:rsidRPr="000C4EFF">
        <w:rPr>
          <w:rFonts w:ascii="Times New Roman" w:hAnsi="Times New Roman"/>
        </w:rPr>
        <w:t>autologous and heterologous plasma neutralizing antibo</w:t>
      </w:r>
      <w:r w:rsidR="00231298" w:rsidRPr="000C4EFF">
        <w:rPr>
          <w:rFonts w:ascii="Times New Roman" w:hAnsi="Times New Roman"/>
        </w:rPr>
        <w:t>dies obtained from the Indian elite neutralizer</w:t>
      </w:r>
      <w:r w:rsidR="0080657D" w:rsidRPr="000C4EFF">
        <w:rPr>
          <w:rFonts w:ascii="Times New Roman" w:hAnsi="Times New Roman"/>
        </w:rPr>
        <w:t>.</w:t>
      </w:r>
    </w:p>
    <w:p w:rsidR="006A0598" w:rsidRDefault="006A0598" w:rsidP="00BA4511">
      <w:pPr>
        <w:spacing w:after="0"/>
        <w:ind w:right="66"/>
      </w:pPr>
    </w:p>
    <w:p w:rsidR="00561724" w:rsidRDefault="00561724" w:rsidP="004D7ABA">
      <w:pPr>
        <w:spacing w:after="0"/>
      </w:pPr>
    </w:p>
    <w:p w:rsidR="000C4EFF" w:rsidRDefault="000C4EFF" w:rsidP="004D7ABA">
      <w:pPr>
        <w:spacing w:after="0"/>
      </w:pPr>
    </w:p>
    <w:p w:rsidR="00345B39" w:rsidRDefault="00345B39" w:rsidP="005D1CD8">
      <w:pPr>
        <w:spacing w:after="0" w:line="240" w:lineRule="auto"/>
        <w:ind w:right="4319"/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16"/>
        <w:gridCol w:w="2917"/>
        <w:gridCol w:w="1654"/>
        <w:gridCol w:w="1794"/>
      </w:tblGrid>
      <w:tr w:rsidR="00B73988" w:rsidRPr="006A5DDA" w:rsidTr="00566389">
        <w:trPr>
          <w:trHeight w:val="58"/>
        </w:trPr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A74991" w:rsidRPr="006A5DDA" w:rsidRDefault="00A74991" w:rsidP="006A5D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A74991" w:rsidRPr="006A5DDA" w:rsidRDefault="00A74991" w:rsidP="006A5D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A74991" w:rsidRPr="006A5DDA" w:rsidRDefault="00A74991" w:rsidP="006A5D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FFFFFF"/>
              <w:left w:val="single" w:sz="2" w:space="0" w:color="FFFFFF"/>
              <w:bottom w:val="single" w:sz="18" w:space="0" w:color="000000"/>
              <w:right w:val="single" w:sz="2" w:space="0" w:color="FFFFFF"/>
            </w:tcBorders>
          </w:tcPr>
          <w:p w:rsidR="00A74991" w:rsidRPr="006A5DDA" w:rsidRDefault="00A74991" w:rsidP="006A5D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5DDA">
              <w:rPr>
                <w:rFonts w:ascii="Arial" w:hAnsi="Arial" w:cs="Arial"/>
                <w:b/>
                <w:sz w:val="18"/>
                <w:szCs w:val="18"/>
              </w:rPr>
              <w:t xml:space="preserve">Fold </w:t>
            </w:r>
            <w:r w:rsidR="000B603A" w:rsidRPr="006A5DDA">
              <w:rPr>
                <w:rFonts w:ascii="Arial" w:hAnsi="Arial" w:cs="Arial"/>
                <w:b/>
                <w:sz w:val="18"/>
                <w:szCs w:val="18"/>
              </w:rPr>
              <w:t>reduction</w:t>
            </w:r>
            <w:r w:rsidRPr="006A5DDA">
              <w:rPr>
                <w:rFonts w:ascii="Arial" w:hAnsi="Arial" w:cs="Arial"/>
                <w:b/>
                <w:sz w:val="18"/>
                <w:szCs w:val="18"/>
              </w:rPr>
              <w:t xml:space="preserve"> in ID</w:t>
            </w:r>
            <w:r w:rsidRPr="00261C50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50</w:t>
            </w:r>
            <w:r w:rsidRPr="006A5DDA">
              <w:rPr>
                <w:rFonts w:ascii="Arial" w:hAnsi="Arial" w:cs="Arial"/>
                <w:b/>
                <w:sz w:val="18"/>
                <w:szCs w:val="18"/>
              </w:rPr>
              <w:t xml:space="preserve"> values</w:t>
            </w:r>
          </w:p>
        </w:tc>
      </w:tr>
      <w:tr w:rsidR="00B73988" w:rsidRPr="006A5DDA" w:rsidTr="00566389">
        <w:trPr>
          <w:trHeight w:val="280"/>
        </w:trPr>
        <w:tc>
          <w:tcPr>
            <w:tcW w:w="3261" w:type="dxa"/>
            <w:tcBorders>
              <w:top w:val="single" w:sz="4" w:space="0" w:color="FFFFFF"/>
              <w:left w:val="single" w:sz="2" w:space="0" w:color="FFFFFF"/>
              <w:bottom w:val="single" w:sz="18" w:space="0" w:color="000000"/>
              <w:right w:val="single" w:sz="2" w:space="0" w:color="FFFFFF"/>
            </w:tcBorders>
          </w:tcPr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Envs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2" w:space="0" w:color="FFFFFF"/>
              <w:bottom w:val="single" w:sz="18" w:space="0" w:color="000000"/>
              <w:right w:val="single" w:sz="2" w:space="0" w:color="FFFFFF"/>
            </w:tcBorders>
          </w:tcPr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Clade</w:t>
            </w:r>
          </w:p>
        </w:tc>
        <w:tc>
          <w:tcPr>
            <w:tcW w:w="2917" w:type="dxa"/>
            <w:tcBorders>
              <w:top w:val="single" w:sz="4" w:space="0" w:color="FFFFFF"/>
              <w:left w:val="single" w:sz="2" w:space="0" w:color="FFFFFF"/>
              <w:bottom w:val="single" w:sz="18" w:space="0" w:color="000000"/>
              <w:right w:val="single" w:sz="2" w:space="0" w:color="FFFFFF"/>
            </w:tcBorders>
          </w:tcPr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Autologous/Heterologous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2" w:space="0" w:color="FFFFFF"/>
              <w:bottom w:val="single" w:sz="18" w:space="0" w:color="000000"/>
              <w:right w:val="single" w:sz="2" w:space="0" w:color="FFFFFF"/>
            </w:tcBorders>
          </w:tcPr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92BR020</w:t>
            </w:r>
          </w:p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(N332A)</w:t>
            </w:r>
          </w:p>
        </w:tc>
        <w:tc>
          <w:tcPr>
            <w:tcW w:w="1794" w:type="dxa"/>
            <w:tcBorders>
              <w:left w:val="single" w:sz="2" w:space="0" w:color="FFFFFF"/>
              <w:bottom w:val="single" w:sz="18" w:space="0" w:color="000000"/>
              <w:right w:val="single" w:sz="2" w:space="0" w:color="FFFFFF"/>
            </w:tcBorders>
          </w:tcPr>
          <w:p w:rsidR="00341E51" w:rsidRPr="006A5DDA" w:rsidRDefault="00341E51" w:rsidP="006A5D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92BR020</w:t>
            </w:r>
          </w:p>
          <w:p w:rsidR="00341E51" w:rsidRPr="006A5DDA" w:rsidRDefault="00341E51" w:rsidP="006A5DDA">
            <w:pPr>
              <w:spacing w:after="0" w:line="240" w:lineRule="auto"/>
              <w:ind w:left="-395" w:firstLine="395"/>
              <w:rPr>
                <w:rFonts w:ascii="Arial" w:hAnsi="Arial" w:cs="Arial"/>
                <w:sz w:val="18"/>
                <w:szCs w:val="18"/>
              </w:rPr>
            </w:pPr>
            <w:r w:rsidRPr="006A5DDA">
              <w:rPr>
                <w:rFonts w:ascii="Arial" w:hAnsi="Arial" w:cs="Arial"/>
                <w:sz w:val="18"/>
                <w:szCs w:val="18"/>
              </w:rPr>
              <w:t>(N301A/N332A)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18" w:space="0" w:color="000000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92BR020</w:t>
            </w:r>
          </w:p>
        </w:tc>
        <w:tc>
          <w:tcPr>
            <w:tcW w:w="816" w:type="dxa"/>
            <w:tcBorders>
              <w:top w:val="single" w:sz="18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917" w:type="dxa"/>
            <w:tcBorders>
              <w:top w:val="single" w:sz="18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&gt;33.15</w:t>
            </w:r>
          </w:p>
        </w:tc>
        <w:tc>
          <w:tcPr>
            <w:tcW w:w="1794" w:type="dxa"/>
            <w:tcBorders>
              <w:top w:val="single" w:sz="18" w:space="0" w:color="000000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4-</w:t>
            </w:r>
            <w:r w:rsidR="000C4EFF" w:rsidRPr="00687B70">
              <w:rPr>
                <w:rFonts w:ascii="Arial" w:hAnsi="Arial" w:cs="Arial"/>
                <w:sz w:val="18"/>
                <w:szCs w:val="18"/>
              </w:rPr>
              <w:t>2. J</w:t>
            </w:r>
            <w:r w:rsidRPr="00687B7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&gt;37.65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Q23.17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&gt;23.65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IAVI C22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&gt;42.50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CH038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B/C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&gt;20.00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Q259.D22.2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&gt;60.5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JRCSF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Heterologous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&gt;14.55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9B3C0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PG80v1.eJ7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(wild type)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PG80v1.eJ19 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(wild type)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  <w:tr w:rsidR="00B73988" w:rsidRPr="006A5DDA" w:rsidTr="00566389"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7C1982" w:rsidRPr="00687B70" w:rsidRDefault="007C1982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PG80v2.eJ38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7C1982" w:rsidRPr="00687B70" w:rsidRDefault="007C1982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7C1982" w:rsidRPr="00687B70" w:rsidRDefault="007C1982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(wild type)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7C1982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7C1982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  <w:tr w:rsidR="00B73988" w:rsidRPr="006A5DDA" w:rsidTr="00687B70">
        <w:trPr>
          <w:trHeight w:val="130"/>
        </w:trPr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PG80v2.eJ38(v1. eJ7 V1V2)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341E51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(chimera)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341E51" w:rsidRPr="00687B70" w:rsidRDefault="00566389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No change</w:t>
            </w:r>
            <w:r w:rsidR="00B73988" w:rsidRPr="00687B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566389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No</w:t>
            </w:r>
            <w:r w:rsidR="00B73988" w:rsidRPr="00687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B70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</w:tr>
      <w:tr w:rsidR="00B73988" w:rsidRPr="006A5DDA" w:rsidTr="00566389">
        <w:trPr>
          <w:trHeight w:val="132"/>
        </w:trPr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PG80v2.eJ38(v1. eJ7 V3C3)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(chimera)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  <w:tr w:rsidR="00B73988" w:rsidRPr="006A5DDA" w:rsidTr="00566389">
        <w:trPr>
          <w:trHeight w:val="164"/>
        </w:trPr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PG80v2.eJ38(v1. eJ7 V3C4)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(chimera)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  <w:tr w:rsidR="00B73988" w:rsidRPr="006A5DDA" w:rsidTr="00566389">
        <w:trPr>
          <w:trHeight w:val="316"/>
        </w:trPr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18" w:space="0" w:color="000000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PG80v2.eJ38(v1. eJ7 C4V5)</w:t>
            </w:r>
          </w:p>
        </w:tc>
        <w:tc>
          <w:tcPr>
            <w:tcW w:w="816" w:type="dxa"/>
            <w:tcBorders>
              <w:top w:val="single" w:sz="2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917" w:type="dxa"/>
            <w:tcBorders>
              <w:top w:val="single" w:sz="2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>Autologous (chimera)</w:t>
            </w:r>
          </w:p>
        </w:tc>
        <w:tc>
          <w:tcPr>
            <w:tcW w:w="1654" w:type="dxa"/>
            <w:tcBorders>
              <w:top w:val="single" w:sz="2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  <w:tc>
          <w:tcPr>
            <w:tcW w:w="1794" w:type="dxa"/>
            <w:tcBorders>
              <w:top w:val="single" w:sz="2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:rsidR="00B73988" w:rsidRPr="00687B70" w:rsidRDefault="00B73988" w:rsidP="00261C50">
            <w:pPr>
              <w:spacing w:after="0" w:line="240" w:lineRule="auto"/>
              <w:rPr>
                <w:sz w:val="18"/>
                <w:szCs w:val="18"/>
              </w:rPr>
            </w:pPr>
            <w:r w:rsidRPr="00687B70">
              <w:rPr>
                <w:rFonts w:ascii="Arial" w:hAnsi="Arial" w:cs="Arial"/>
                <w:sz w:val="18"/>
                <w:szCs w:val="18"/>
              </w:rPr>
              <w:t xml:space="preserve">No change </w:t>
            </w:r>
          </w:p>
        </w:tc>
      </w:tr>
    </w:tbl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18"/>
          <w:szCs w:val="20"/>
        </w:rPr>
      </w:pPr>
    </w:p>
    <w:p w:rsidR="00BA4511" w:rsidRPr="006A0598" w:rsidRDefault="00BA4511" w:rsidP="00E46C46">
      <w:pPr>
        <w:spacing w:after="0" w:line="240" w:lineRule="auto"/>
        <w:ind w:right="3468"/>
        <w:jc w:val="both"/>
        <w:rPr>
          <w:rFonts w:ascii="Arial" w:hAnsi="Arial" w:cs="Arial"/>
          <w:i/>
          <w:sz w:val="8"/>
          <w:szCs w:val="20"/>
        </w:rPr>
      </w:pPr>
    </w:p>
    <w:p w:rsidR="005C3A67" w:rsidRPr="000C4EFF" w:rsidRDefault="00BA4511" w:rsidP="000C4EFF">
      <w:pPr>
        <w:pStyle w:val="ListParagraph"/>
        <w:spacing w:after="0" w:line="240" w:lineRule="auto"/>
        <w:ind w:left="1701" w:right="1767"/>
        <w:jc w:val="both"/>
        <w:rPr>
          <w:rFonts w:ascii="Arial" w:hAnsi="Arial" w:cs="Arial"/>
          <w:i/>
          <w:sz w:val="18"/>
          <w:szCs w:val="20"/>
        </w:rPr>
      </w:pPr>
      <w:r w:rsidRPr="000C4EFF">
        <w:rPr>
          <w:rFonts w:ascii="Arial" w:hAnsi="Arial" w:cs="Arial"/>
          <w:i/>
          <w:sz w:val="18"/>
          <w:szCs w:val="20"/>
        </w:rPr>
        <w:t xml:space="preserve">The heterologous neutralization specificity was mapped by using 92BR020 </w:t>
      </w:r>
      <w:r w:rsidR="000C4EFF" w:rsidRPr="000C4EFF">
        <w:rPr>
          <w:rFonts w:ascii="Arial" w:hAnsi="Arial" w:cs="Arial"/>
          <w:i/>
          <w:sz w:val="18"/>
          <w:szCs w:val="20"/>
        </w:rPr>
        <w:t xml:space="preserve">N332A </w:t>
      </w:r>
      <w:r w:rsidRPr="000C4EFF">
        <w:rPr>
          <w:rFonts w:ascii="Arial" w:hAnsi="Arial" w:cs="Arial"/>
          <w:i/>
          <w:sz w:val="18"/>
          <w:szCs w:val="20"/>
        </w:rPr>
        <w:t>and 92BR020 N301A</w:t>
      </w:r>
      <w:r w:rsidR="000C4EFF" w:rsidRPr="000C4EFF">
        <w:rPr>
          <w:rFonts w:ascii="Arial" w:hAnsi="Arial" w:cs="Arial"/>
          <w:i/>
          <w:sz w:val="18"/>
          <w:szCs w:val="20"/>
        </w:rPr>
        <w:t xml:space="preserve"> </w:t>
      </w:r>
      <w:r w:rsidRPr="000C4EFF">
        <w:rPr>
          <w:rFonts w:ascii="Arial" w:hAnsi="Arial" w:cs="Arial"/>
          <w:i/>
          <w:sz w:val="18"/>
          <w:szCs w:val="20"/>
        </w:rPr>
        <w:t>/</w:t>
      </w:r>
      <w:r w:rsidR="000C4EFF" w:rsidRPr="000C4EFF">
        <w:rPr>
          <w:rFonts w:ascii="Arial" w:hAnsi="Arial" w:cs="Arial"/>
          <w:i/>
          <w:sz w:val="18"/>
          <w:szCs w:val="20"/>
        </w:rPr>
        <w:t xml:space="preserve"> </w:t>
      </w:r>
      <w:r w:rsidRPr="000C4EFF">
        <w:rPr>
          <w:rFonts w:ascii="Arial" w:hAnsi="Arial" w:cs="Arial"/>
          <w:i/>
          <w:sz w:val="18"/>
          <w:szCs w:val="20"/>
        </w:rPr>
        <w:t>N332</w:t>
      </w:r>
      <w:r w:rsidR="00CF2C82" w:rsidRPr="000C4EFF">
        <w:rPr>
          <w:rFonts w:ascii="Arial" w:hAnsi="Arial" w:cs="Arial"/>
          <w:i/>
          <w:sz w:val="18"/>
          <w:szCs w:val="20"/>
        </w:rPr>
        <w:t>.</w:t>
      </w:r>
      <w:r w:rsidRPr="000C4EFF">
        <w:rPr>
          <w:rFonts w:ascii="Arial" w:hAnsi="Arial" w:cs="Arial"/>
          <w:i/>
          <w:sz w:val="18"/>
          <w:szCs w:val="20"/>
        </w:rPr>
        <w:t xml:space="preserve"> As shown in </w:t>
      </w:r>
      <w:r w:rsidR="00CF2C82" w:rsidRPr="000C4EFF">
        <w:rPr>
          <w:rFonts w:ascii="Arial" w:hAnsi="Arial" w:cs="Arial"/>
          <w:i/>
          <w:sz w:val="18"/>
          <w:szCs w:val="20"/>
        </w:rPr>
        <w:t xml:space="preserve">this </w:t>
      </w:r>
      <w:r w:rsidRPr="000C4EFF">
        <w:rPr>
          <w:rFonts w:ascii="Arial" w:hAnsi="Arial" w:cs="Arial"/>
          <w:i/>
          <w:sz w:val="18"/>
          <w:szCs w:val="20"/>
        </w:rPr>
        <w:t>Table</w:t>
      </w:r>
      <w:r w:rsidR="00261C50" w:rsidRPr="000C4EFF">
        <w:rPr>
          <w:rFonts w:ascii="Arial" w:hAnsi="Arial" w:cs="Arial"/>
          <w:i/>
          <w:sz w:val="18"/>
          <w:szCs w:val="20"/>
        </w:rPr>
        <w:t xml:space="preserve"> S1</w:t>
      </w:r>
      <w:r w:rsidR="00CF2C82" w:rsidRPr="000C4EFF">
        <w:rPr>
          <w:rFonts w:ascii="Arial" w:hAnsi="Arial" w:cs="Arial"/>
          <w:i/>
          <w:sz w:val="18"/>
          <w:szCs w:val="20"/>
        </w:rPr>
        <w:t>,</w:t>
      </w:r>
      <w:r w:rsidRPr="000C4EFF">
        <w:rPr>
          <w:rFonts w:ascii="Arial" w:hAnsi="Arial" w:cs="Arial"/>
          <w:i/>
          <w:sz w:val="18"/>
          <w:szCs w:val="20"/>
        </w:rPr>
        <w:t xml:space="preserve"> plasma antibodies</w:t>
      </w:r>
      <w:r w:rsidR="00CF2C82" w:rsidRPr="000C4EFF">
        <w:rPr>
          <w:rFonts w:ascii="Arial" w:hAnsi="Arial" w:cs="Arial"/>
          <w:i/>
          <w:sz w:val="18"/>
          <w:szCs w:val="20"/>
        </w:rPr>
        <w:t xml:space="preserve"> obtained from the elite neutralizer (32)</w:t>
      </w:r>
      <w:r w:rsidRPr="000C4EFF">
        <w:rPr>
          <w:rFonts w:ascii="Arial" w:hAnsi="Arial" w:cs="Arial"/>
          <w:i/>
          <w:sz w:val="18"/>
          <w:szCs w:val="20"/>
        </w:rPr>
        <w:t xml:space="preserve"> depleted with 92BR020 N332A but not 92BR020 N301A</w:t>
      </w:r>
      <w:r w:rsidR="000C4EFF" w:rsidRPr="000C4EFF">
        <w:rPr>
          <w:rFonts w:ascii="Arial" w:hAnsi="Arial" w:cs="Arial"/>
          <w:i/>
          <w:sz w:val="18"/>
          <w:szCs w:val="20"/>
        </w:rPr>
        <w:t xml:space="preserve"> </w:t>
      </w:r>
      <w:r w:rsidRPr="000C4EFF">
        <w:rPr>
          <w:rFonts w:ascii="Arial" w:hAnsi="Arial" w:cs="Arial"/>
          <w:i/>
          <w:sz w:val="18"/>
          <w:szCs w:val="20"/>
        </w:rPr>
        <w:t>/</w:t>
      </w:r>
      <w:r w:rsidR="000C4EFF" w:rsidRPr="000C4EFF">
        <w:rPr>
          <w:rFonts w:ascii="Arial" w:hAnsi="Arial" w:cs="Arial"/>
          <w:i/>
          <w:sz w:val="18"/>
          <w:szCs w:val="20"/>
        </w:rPr>
        <w:t xml:space="preserve"> N332A</w:t>
      </w:r>
      <w:r w:rsidRPr="000C4EFF">
        <w:rPr>
          <w:rFonts w:ascii="Arial" w:hAnsi="Arial" w:cs="Arial"/>
          <w:i/>
          <w:sz w:val="18"/>
          <w:szCs w:val="20"/>
        </w:rPr>
        <w:t xml:space="preserve"> gp120 proteins demonstrated a significant reduction of neutralization of heterologous viruses, when compared with that of undepleted plasma antibodies</w:t>
      </w:r>
      <w:r w:rsidR="00CF2C82" w:rsidRPr="000C4EFF">
        <w:rPr>
          <w:rFonts w:ascii="Arial" w:hAnsi="Arial" w:cs="Arial"/>
          <w:i/>
          <w:sz w:val="18"/>
          <w:szCs w:val="20"/>
        </w:rPr>
        <w:t>, which</w:t>
      </w:r>
      <w:r w:rsidRPr="000C4EFF">
        <w:rPr>
          <w:rFonts w:ascii="Arial" w:hAnsi="Arial" w:cs="Arial"/>
          <w:i/>
          <w:sz w:val="18"/>
          <w:szCs w:val="20"/>
        </w:rPr>
        <w:t xml:space="preserve"> indicated that </w:t>
      </w:r>
      <w:r w:rsidR="00CF2C82" w:rsidRPr="000C4EFF">
        <w:rPr>
          <w:rFonts w:ascii="Arial" w:hAnsi="Arial" w:cs="Arial"/>
          <w:i/>
          <w:sz w:val="18"/>
          <w:szCs w:val="20"/>
        </w:rPr>
        <w:t xml:space="preserve">the </w:t>
      </w:r>
      <w:r w:rsidRPr="000C4EFF">
        <w:rPr>
          <w:rFonts w:ascii="Arial" w:hAnsi="Arial" w:cs="Arial"/>
          <w:i/>
          <w:sz w:val="18"/>
          <w:szCs w:val="20"/>
        </w:rPr>
        <w:t>neutralization breadth of plasma antibodies developed in this Indian elite neutralizer correlated with their target specificity to conserved V3 glycans.</w:t>
      </w:r>
      <w:r w:rsidR="009B3C01">
        <w:rPr>
          <w:rFonts w:ascii="Arial" w:hAnsi="Arial" w:cs="Arial"/>
          <w:i/>
          <w:sz w:val="18"/>
          <w:szCs w:val="20"/>
        </w:rPr>
        <w:t xml:space="preserve"> Note that comparable data obtained when plasma antibodies were depleted with 92BR020 gp120 with that of 92BR020 N332A (data not shown)</w:t>
      </w:r>
      <w:r w:rsidR="00825239">
        <w:rPr>
          <w:rFonts w:ascii="Arial" w:hAnsi="Arial" w:cs="Arial"/>
          <w:i/>
          <w:sz w:val="18"/>
          <w:szCs w:val="20"/>
        </w:rPr>
        <w:t>.</w:t>
      </w:r>
      <w:r w:rsidR="00CF2C82" w:rsidRPr="000C4EFF">
        <w:rPr>
          <w:rFonts w:ascii="Arial" w:hAnsi="Arial" w:cs="Arial"/>
          <w:i/>
          <w:sz w:val="18"/>
          <w:szCs w:val="20"/>
        </w:rPr>
        <w:t xml:space="preserve"> </w:t>
      </w:r>
      <w:bookmarkStart w:id="0" w:name="_GoBack"/>
      <w:bookmarkEnd w:id="0"/>
      <w:proofErr w:type="gramStart"/>
      <w:r w:rsidR="005C3A67" w:rsidRPr="000C4EFF">
        <w:rPr>
          <w:rFonts w:ascii="Arial" w:hAnsi="Arial" w:cs="Arial"/>
          <w:i/>
          <w:sz w:val="18"/>
          <w:szCs w:val="20"/>
        </w:rPr>
        <w:t>ID</w:t>
      </w:r>
      <w:proofErr w:type="gramEnd"/>
      <w:r w:rsidR="005C3A67" w:rsidRPr="000C4EFF">
        <w:rPr>
          <w:rFonts w:ascii="Arial" w:hAnsi="Arial" w:cs="Arial"/>
          <w:i/>
          <w:sz w:val="18"/>
          <w:szCs w:val="20"/>
          <w:vertAlign w:val="subscript"/>
        </w:rPr>
        <w:t>50</w:t>
      </w:r>
      <w:r w:rsidR="005C3A67" w:rsidRPr="000C4EFF">
        <w:rPr>
          <w:rFonts w:ascii="Arial" w:hAnsi="Arial" w:cs="Arial"/>
          <w:i/>
          <w:sz w:val="18"/>
          <w:szCs w:val="20"/>
        </w:rPr>
        <w:t xml:space="preserve"> values refer to the reciprocal dilution conferring 50% neutralization of Env-pseudotyped viruses in TZM-bl cells. </w:t>
      </w:r>
      <w:r w:rsidR="000B603A" w:rsidRPr="000C4EFF">
        <w:rPr>
          <w:rFonts w:ascii="Arial" w:hAnsi="Arial" w:cs="Arial"/>
          <w:i/>
          <w:sz w:val="18"/>
          <w:szCs w:val="20"/>
        </w:rPr>
        <w:t>Fold reduction in ID</w:t>
      </w:r>
      <w:r w:rsidR="000B603A" w:rsidRPr="000C4EFF">
        <w:rPr>
          <w:rFonts w:ascii="Arial" w:hAnsi="Arial" w:cs="Arial"/>
          <w:i/>
          <w:sz w:val="18"/>
          <w:szCs w:val="20"/>
          <w:vertAlign w:val="subscript"/>
        </w:rPr>
        <w:t>50</w:t>
      </w:r>
      <w:r w:rsidR="000B603A" w:rsidRPr="000C4EFF">
        <w:rPr>
          <w:rFonts w:ascii="Arial" w:hAnsi="Arial" w:cs="Arial"/>
          <w:i/>
          <w:sz w:val="18"/>
          <w:szCs w:val="20"/>
        </w:rPr>
        <w:t xml:space="preserve"> values refer to the ID</w:t>
      </w:r>
      <w:r w:rsidR="000B603A" w:rsidRPr="000C4EFF">
        <w:rPr>
          <w:rFonts w:ascii="Arial" w:hAnsi="Arial" w:cs="Arial"/>
          <w:i/>
          <w:sz w:val="18"/>
          <w:szCs w:val="20"/>
          <w:vertAlign w:val="subscript"/>
        </w:rPr>
        <w:t xml:space="preserve">50 </w:t>
      </w:r>
      <w:r w:rsidR="000B603A" w:rsidRPr="000C4EFF">
        <w:rPr>
          <w:rFonts w:ascii="Arial" w:hAnsi="Arial" w:cs="Arial"/>
          <w:i/>
          <w:sz w:val="18"/>
          <w:szCs w:val="20"/>
        </w:rPr>
        <w:t>values observed with depleted plasma antibodies compared to undepleted plasma antibodies.</w:t>
      </w:r>
    </w:p>
    <w:p w:rsidR="00345B39" w:rsidRPr="00F134F9" w:rsidRDefault="00345B39" w:rsidP="005D1CD8">
      <w:pPr>
        <w:spacing w:after="0" w:line="240" w:lineRule="auto"/>
        <w:ind w:right="4319"/>
        <w:rPr>
          <w:rFonts w:ascii="Arial" w:hAnsi="Arial" w:cs="Arial"/>
          <w:sz w:val="20"/>
          <w:szCs w:val="20"/>
        </w:rPr>
      </w:pPr>
    </w:p>
    <w:sectPr w:rsidR="00345B39" w:rsidRPr="00F134F9" w:rsidSect="00F24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A53ED"/>
    <w:multiLevelType w:val="hybridMultilevel"/>
    <w:tmpl w:val="FC2E05EC"/>
    <w:lvl w:ilvl="0" w:tplc="DCCE643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77"/>
    <w:rsid w:val="00043800"/>
    <w:rsid w:val="000B603A"/>
    <w:rsid w:val="000C4EFF"/>
    <w:rsid w:val="00215384"/>
    <w:rsid w:val="00231298"/>
    <w:rsid w:val="00261C50"/>
    <w:rsid w:val="00291170"/>
    <w:rsid w:val="00324BE1"/>
    <w:rsid w:val="0033746D"/>
    <w:rsid w:val="00341E51"/>
    <w:rsid w:val="00345B39"/>
    <w:rsid w:val="003F320D"/>
    <w:rsid w:val="00411FC3"/>
    <w:rsid w:val="00451894"/>
    <w:rsid w:val="004D7ABA"/>
    <w:rsid w:val="005067E1"/>
    <w:rsid w:val="00542531"/>
    <w:rsid w:val="00561724"/>
    <w:rsid w:val="00566389"/>
    <w:rsid w:val="005C3A67"/>
    <w:rsid w:val="005D1CD8"/>
    <w:rsid w:val="005F3D28"/>
    <w:rsid w:val="0064455C"/>
    <w:rsid w:val="00687B70"/>
    <w:rsid w:val="006A0598"/>
    <w:rsid w:val="006A5DDA"/>
    <w:rsid w:val="006B23F2"/>
    <w:rsid w:val="006D3DD5"/>
    <w:rsid w:val="007740D7"/>
    <w:rsid w:val="0077547D"/>
    <w:rsid w:val="007C1982"/>
    <w:rsid w:val="0080657D"/>
    <w:rsid w:val="00825239"/>
    <w:rsid w:val="008A0D21"/>
    <w:rsid w:val="008D21E2"/>
    <w:rsid w:val="008D3856"/>
    <w:rsid w:val="008D6E0D"/>
    <w:rsid w:val="00935652"/>
    <w:rsid w:val="00935D4C"/>
    <w:rsid w:val="009A2777"/>
    <w:rsid w:val="009B3C01"/>
    <w:rsid w:val="009C1E89"/>
    <w:rsid w:val="00A05A99"/>
    <w:rsid w:val="00A721BF"/>
    <w:rsid w:val="00A74991"/>
    <w:rsid w:val="00A86586"/>
    <w:rsid w:val="00AA3973"/>
    <w:rsid w:val="00B43BC1"/>
    <w:rsid w:val="00B73988"/>
    <w:rsid w:val="00BA4511"/>
    <w:rsid w:val="00C15DEA"/>
    <w:rsid w:val="00C41C74"/>
    <w:rsid w:val="00C55445"/>
    <w:rsid w:val="00CF17F2"/>
    <w:rsid w:val="00CF2C82"/>
    <w:rsid w:val="00D17E0A"/>
    <w:rsid w:val="00D6007F"/>
    <w:rsid w:val="00E46C46"/>
    <w:rsid w:val="00E55F21"/>
    <w:rsid w:val="00E712AB"/>
    <w:rsid w:val="00E80F1D"/>
    <w:rsid w:val="00F134F9"/>
    <w:rsid w:val="00F24CC3"/>
    <w:rsid w:val="00F36DD3"/>
    <w:rsid w:val="00F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AF0"/>
  <w15:chartTrackingRefBased/>
  <w15:docId w15:val="{9F4E0FB4-1BAE-4FE5-B2C7-F2DEDCE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E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Jayanta Bhattacharya</dc:creator>
  <cp:keywords/>
  <cp:lastModifiedBy>Jayanta Bhattacharya</cp:lastModifiedBy>
  <cp:revision>6</cp:revision>
  <dcterms:created xsi:type="dcterms:W3CDTF">2021-02-19T10:52:00Z</dcterms:created>
  <dcterms:modified xsi:type="dcterms:W3CDTF">2021-02-19T18:14:00Z</dcterms:modified>
</cp:coreProperties>
</file>