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1BF2" w14:textId="65724B84" w:rsidR="005339CA" w:rsidRPr="00F12672" w:rsidRDefault="00B96E0C" w:rsidP="005339C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>S1 Text</w:t>
      </w:r>
    </w:p>
    <w:p w14:paraId="3B6ED9DF" w14:textId="77777777" w:rsidR="005339CA" w:rsidRPr="00F12672" w:rsidRDefault="005339CA" w:rsidP="005339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A91A61" w14:textId="77777777" w:rsidR="005339CA" w:rsidRPr="00F12672" w:rsidRDefault="005339CA" w:rsidP="005339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6399"/>
      </w:tblGrid>
      <w:tr w:rsidR="005339CA" w:rsidRPr="00F12672" w14:paraId="006F0343" w14:textId="77777777" w:rsidTr="005339CA">
        <w:tc>
          <w:tcPr>
            <w:tcW w:w="2951" w:type="dxa"/>
            <w:shd w:val="clear" w:color="auto" w:fill="D9D9D9" w:themeFill="background1" w:themeFillShade="D9"/>
            <w:vAlign w:val="bottom"/>
          </w:tcPr>
          <w:p w14:paraId="04A52219" w14:textId="77777777" w:rsidR="005339CA" w:rsidRDefault="005339CA" w:rsidP="005339C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4065B0F6" w14:textId="4FD6F5EB" w:rsidR="005339CA" w:rsidRPr="00F12672" w:rsidRDefault="005339CA" w:rsidP="005339C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b/>
                <w:color w:val="000000" w:themeColor="text1"/>
                <w:sz w:val="22"/>
              </w:rPr>
              <w:t>Supp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orting</w:t>
            </w:r>
            <w:r w:rsidRPr="00F1267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Figures</w:t>
            </w:r>
          </w:p>
          <w:p w14:paraId="1842B046" w14:textId="77777777" w:rsidR="005339CA" w:rsidRPr="00F12672" w:rsidRDefault="005339CA" w:rsidP="005339C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6399" w:type="dxa"/>
            <w:shd w:val="clear" w:color="auto" w:fill="D9D9D9" w:themeFill="background1" w:themeFillShade="D9"/>
          </w:tcPr>
          <w:p w14:paraId="51713E47" w14:textId="77777777" w:rsidR="005339CA" w:rsidRPr="00F12672" w:rsidRDefault="005339CA" w:rsidP="00BE4159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5339CA" w:rsidRPr="00F12672" w14:paraId="75FC3177" w14:textId="77777777" w:rsidTr="005339CA">
        <w:tc>
          <w:tcPr>
            <w:tcW w:w="2951" w:type="dxa"/>
          </w:tcPr>
          <w:p w14:paraId="7B400B52" w14:textId="71937B7D" w:rsidR="005339CA" w:rsidRPr="00F12672" w:rsidRDefault="005339CA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 xml:space="preserve">1 </w:t>
            </w:r>
            <w:r w:rsidRPr="00F12672">
              <w:rPr>
                <w:rFonts w:ascii="Arial" w:hAnsi="Arial" w:cs="Arial"/>
                <w:color w:val="000000" w:themeColor="text1"/>
                <w:sz w:val="22"/>
              </w:rPr>
              <w:t xml:space="preserve">Figure 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>A</w:t>
            </w:r>
          </w:p>
        </w:tc>
        <w:tc>
          <w:tcPr>
            <w:tcW w:w="6399" w:type="dxa"/>
          </w:tcPr>
          <w:p w14:paraId="62FF44B8" w14:textId="392EB4E1" w:rsidR="005339CA" w:rsidRPr="005339CA" w:rsidRDefault="00FA1D8F" w:rsidP="00BE4159">
            <w:pPr>
              <w:rPr>
                <w:noProof/>
                <w:sz w:val="22"/>
              </w:rPr>
            </w:pPr>
            <w:r w:rsidRPr="005339CA">
              <w:rPr>
                <w:rFonts w:ascii="Arial" w:hAnsi="Arial" w:cs="Arial"/>
                <w:sz w:val="22"/>
              </w:rPr>
              <w:t>Opsonization of JRFL SOSIP-conjugated beads by selected hinge variants</w:t>
            </w:r>
            <w:r w:rsidRPr="005339CA">
              <w:rPr>
                <w:rFonts w:ascii="Arial" w:hAnsi="Arial" w:cs="Arial"/>
                <w:noProof/>
                <w:sz w:val="22"/>
              </w:rPr>
              <w:t xml:space="preserve"> </w:t>
            </w:r>
          </w:p>
        </w:tc>
      </w:tr>
      <w:tr w:rsidR="005339CA" w:rsidRPr="00F12672" w14:paraId="62FAAD01" w14:textId="77777777" w:rsidTr="005339CA">
        <w:tc>
          <w:tcPr>
            <w:tcW w:w="2951" w:type="dxa"/>
          </w:tcPr>
          <w:p w14:paraId="67028E46" w14:textId="41F55974" w:rsidR="005339CA" w:rsidRPr="00F12672" w:rsidRDefault="005339CA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 xml:space="preserve">1 </w:t>
            </w:r>
            <w:r w:rsidRPr="00F12672">
              <w:rPr>
                <w:rFonts w:ascii="Arial" w:hAnsi="Arial" w:cs="Arial"/>
                <w:color w:val="000000" w:themeColor="text1"/>
                <w:sz w:val="22"/>
              </w:rPr>
              <w:t xml:space="preserve">Figure 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>B</w:t>
            </w:r>
          </w:p>
          <w:p w14:paraId="681910EF" w14:textId="77777777" w:rsidR="005339CA" w:rsidRPr="00F12672" w:rsidRDefault="005339CA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6399" w:type="dxa"/>
          </w:tcPr>
          <w:p w14:paraId="24AB842E" w14:textId="11EBD088" w:rsidR="005339CA" w:rsidRPr="005339CA" w:rsidRDefault="00FA1D8F" w:rsidP="00BE41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THP-1 phagocytosis data for VRC01 hinge variant panel</w:t>
            </w:r>
          </w:p>
        </w:tc>
      </w:tr>
      <w:tr w:rsidR="00391BE7" w:rsidRPr="00F12672" w14:paraId="520A330A" w14:textId="77777777" w:rsidTr="005339CA">
        <w:tc>
          <w:tcPr>
            <w:tcW w:w="2951" w:type="dxa"/>
          </w:tcPr>
          <w:p w14:paraId="2C3F7574" w14:textId="7C759878" w:rsidR="00391BE7" w:rsidRPr="00F12672" w:rsidRDefault="00391BE7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 xml:space="preserve">1 </w:t>
            </w:r>
            <w:r w:rsidRPr="00F12672">
              <w:rPr>
                <w:rFonts w:ascii="Arial" w:hAnsi="Arial" w:cs="Arial"/>
                <w:color w:val="000000" w:themeColor="text1"/>
                <w:sz w:val="22"/>
              </w:rPr>
              <w:t xml:space="preserve">Figure 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>C</w:t>
            </w:r>
          </w:p>
        </w:tc>
        <w:tc>
          <w:tcPr>
            <w:tcW w:w="6399" w:type="dxa"/>
          </w:tcPr>
          <w:p w14:paraId="0DDCCD90" w14:textId="77777777" w:rsidR="00391BE7" w:rsidRDefault="00015E42" w:rsidP="00BE4159">
            <w:pPr>
              <w:rPr>
                <w:rFonts w:ascii="Arial" w:hAnsi="Arial" w:cs="Arial"/>
                <w:noProof/>
                <w:sz w:val="22"/>
              </w:rPr>
            </w:pPr>
            <w:r w:rsidRPr="005339CA">
              <w:rPr>
                <w:rFonts w:ascii="Arial" w:hAnsi="Arial" w:cs="Arial"/>
                <w:sz w:val="22"/>
              </w:rPr>
              <w:t>Gating strategy used for the PBMC phagocytosis assay</w:t>
            </w:r>
            <w:r w:rsidRPr="005339CA">
              <w:rPr>
                <w:rFonts w:ascii="Arial" w:hAnsi="Arial" w:cs="Arial"/>
                <w:noProof/>
                <w:sz w:val="22"/>
              </w:rPr>
              <w:t xml:space="preserve"> </w:t>
            </w:r>
          </w:p>
          <w:p w14:paraId="1989AEF9" w14:textId="79D224DB" w:rsidR="00B96E0C" w:rsidRPr="005339CA" w:rsidRDefault="00B96E0C" w:rsidP="00BE4159">
            <w:pPr>
              <w:rPr>
                <w:rFonts w:ascii="Arial" w:hAnsi="Arial" w:cs="Arial"/>
                <w:sz w:val="22"/>
              </w:rPr>
            </w:pPr>
          </w:p>
        </w:tc>
      </w:tr>
      <w:tr w:rsidR="005339CA" w:rsidRPr="00F12672" w14:paraId="72B8B159" w14:textId="77777777" w:rsidTr="005339CA">
        <w:tc>
          <w:tcPr>
            <w:tcW w:w="2951" w:type="dxa"/>
          </w:tcPr>
          <w:p w14:paraId="45CBE677" w14:textId="466731EC" w:rsidR="005339CA" w:rsidRPr="00F12672" w:rsidRDefault="00B96E0C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S1 </w:t>
            </w:r>
            <w:r w:rsidR="005339CA" w:rsidRPr="00F12672">
              <w:rPr>
                <w:rFonts w:ascii="Arial" w:hAnsi="Arial" w:cs="Arial"/>
                <w:color w:val="000000" w:themeColor="text1"/>
                <w:sz w:val="22"/>
              </w:rPr>
              <w:t xml:space="preserve">Figure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D</w:t>
            </w:r>
          </w:p>
        </w:tc>
        <w:tc>
          <w:tcPr>
            <w:tcW w:w="6399" w:type="dxa"/>
          </w:tcPr>
          <w:p w14:paraId="3A553AAC" w14:textId="597CBBAE" w:rsidR="005339CA" w:rsidRPr="005339CA" w:rsidRDefault="00015E42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5339CA">
              <w:rPr>
                <w:rFonts w:ascii="Arial" w:hAnsi="Arial" w:cs="Arial"/>
                <w:noProof/>
                <w:sz w:val="22"/>
              </w:rPr>
              <w:t>Extended receptor and antigen affinity data generated from multiplexed SPR</w:t>
            </w:r>
          </w:p>
        </w:tc>
      </w:tr>
      <w:tr w:rsidR="002C6B0B" w:rsidRPr="00F12672" w14:paraId="2CB8CD93" w14:textId="77777777" w:rsidTr="005339CA">
        <w:tc>
          <w:tcPr>
            <w:tcW w:w="2951" w:type="dxa"/>
          </w:tcPr>
          <w:p w14:paraId="7DE1814E" w14:textId="7FF30E29" w:rsidR="002C6B0B" w:rsidRPr="00F12672" w:rsidRDefault="00391BE7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 xml:space="preserve">1 </w:t>
            </w:r>
            <w:r w:rsidRPr="00F12672">
              <w:rPr>
                <w:rFonts w:ascii="Arial" w:hAnsi="Arial" w:cs="Arial"/>
                <w:color w:val="000000" w:themeColor="text1"/>
                <w:sz w:val="22"/>
              </w:rPr>
              <w:t xml:space="preserve">Figure 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>E</w:t>
            </w:r>
          </w:p>
        </w:tc>
        <w:tc>
          <w:tcPr>
            <w:tcW w:w="6399" w:type="dxa"/>
          </w:tcPr>
          <w:p w14:paraId="668B4F4B" w14:textId="21C5E171" w:rsidR="002C6B0B" w:rsidRDefault="00391BE7" w:rsidP="00BE41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ADCC data for </w:t>
            </w:r>
            <w:r w:rsidR="00EE5840">
              <w:rPr>
                <w:rFonts w:ascii="Arial" w:hAnsi="Arial" w:cs="Arial"/>
                <w:sz w:val="22"/>
              </w:rPr>
              <w:t xml:space="preserve">select </w:t>
            </w:r>
            <w:r w:rsidR="005C7EE7">
              <w:rPr>
                <w:rFonts w:ascii="Arial" w:hAnsi="Arial" w:cs="Arial"/>
                <w:sz w:val="22"/>
              </w:rPr>
              <w:t>hinge variants</w:t>
            </w:r>
            <w:r>
              <w:rPr>
                <w:rFonts w:ascii="Arial" w:hAnsi="Arial" w:cs="Arial"/>
                <w:sz w:val="22"/>
              </w:rPr>
              <w:t xml:space="preserve"> of VRC01</w:t>
            </w:r>
          </w:p>
          <w:p w14:paraId="4F2A818D" w14:textId="6AC6C548" w:rsidR="00B96E0C" w:rsidRPr="005339CA" w:rsidRDefault="00B96E0C" w:rsidP="00BE4159">
            <w:pPr>
              <w:rPr>
                <w:rFonts w:ascii="Arial" w:hAnsi="Arial" w:cs="Arial"/>
                <w:sz w:val="22"/>
              </w:rPr>
            </w:pPr>
          </w:p>
        </w:tc>
      </w:tr>
      <w:tr w:rsidR="00164C2A" w:rsidRPr="00F12672" w14:paraId="38FAFFB3" w14:textId="77777777" w:rsidTr="005339CA">
        <w:tc>
          <w:tcPr>
            <w:tcW w:w="2951" w:type="dxa"/>
          </w:tcPr>
          <w:p w14:paraId="360B86C7" w14:textId="2A733C86" w:rsidR="00164C2A" w:rsidRPr="00F12672" w:rsidRDefault="00164C2A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 xml:space="preserve">1 </w:t>
            </w:r>
            <w:r w:rsidRPr="00F12672">
              <w:rPr>
                <w:rFonts w:ascii="Arial" w:hAnsi="Arial" w:cs="Arial"/>
                <w:color w:val="000000" w:themeColor="text1"/>
                <w:sz w:val="22"/>
              </w:rPr>
              <w:t xml:space="preserve">Figure 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>F</w:t>
            </w:r>
          </w:p>
        </w:tc>
        <w:tc>
          <w:tcPr>
            <w:tcW w:w="6399" w:type="dxa"/>
          </w:tcPr>
          <w:p w14:paraId="733E52CA" w14:textId="62434A7D" w:rsidR="00164C2A" w:rsidRDefault="00164C2A" w:rsidP="00BE4159">
            <w:pPr>
              <w:rPr>
                <w:rFonts w:ascii="Arial" w:hAnsi="Arial" w:cs="Arial"/>
                <w:sz w:val="22"/>
              </w:rPr>
            </w:pPr>
            <w:r w:rsidRPr="005339CA">
              <w:rPr>
                <w:rFonts w:ascii="Arial" w:hAnsi="Arial" w:cs="Arial"/>
                <w:noProof/>
                <w:sz w:val="22"/>
              </w:rPr>
              <w:t>Individual components of the phagocytosis score plotted separately</w:t>
            </w:r>
          </w:p>
        </w:tc>
      </w:tr>
      <w:tr w:rsidR="005339CA" w:rsidRPr="00F12672" w14:paraId="6CD8C38D" w14:textId="77777777" w:rsidTr="005339CA"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507B6818" w14:textId="77777777" w:rsidR="005339CA" w:rsidRDefault="005339CA" w:rsidP="005339C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32788D82" w14:textId="4E19D7DF" w:rsidR="005339CA" w:rsidRPr="00F12672" w:rsidRDefault="005339CA" w:rsidP="005339C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b/>
                <w:color w:val="000000" w:themeColor="text1"/>
                <w:sz w:val="22"/>
              </w:rPr>
              <w:t>Supp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orting</w:t>
            </w:r>
            <w:r w:rsidRPr="00F1267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Tables</w:t>
            </w:r>
          </w:p>
          <w:p w14:paraId="55D97689" w14:textId="77777777" w:rsidR="005339CA" w:rsidRPr="00F12672" w:rsidRDefault="005339CA" w:rsidP="005339C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6399" w:type="dxa"/>
            <w:shd w:val="clear" w:color="auto" w:fill="D9D9D9" w:themeFill="background1" w:themeFillShade="D9"/>
          </w:tcPr>
          <w:p w14:paraId="12A55C76" w14:textId="77777777" w:rsidR="005339CA" w:rsidRPr="00F12672" w:rsidRDefault="005339CA" w:rsidP="00BE4159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5339CA" w:rsidRPr="00F12672" w14:paraId="116DDB31" w14:textId="77777777" w:rsidTr="005339CA">
        <w:tc>
          <w:tcPr>
            <w:tcW w:w="2951" w:type="dxa"/>
          </w:tcPr>
          <w:p w14:paraId="0071F7DE" w14:textId="21E59D73" w:rsidR="005339CA" w:rsidRPr="00F12672" w:rsidRDefault="005339CA" w:rsidP="00BE415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1267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 xml:space="preserve">1 </w:t>
            </w:r>
            <w:r w:rsidRPr="00F12672">
              <w:rPr>
                <w:rFonts w:ascii="Arial" w:hAnsi="Arial" w:cs="Arial"/>
                <w:color w:val="000000" w:themeColor="text1"/>
                <w:sz w:val="22"/>
              </w:rPr>
              <w:t xml:space="preserve">Table </w:t>
            </w:r>
            <w:r w:rsidR="00B96E0C">
              <w:rPr>
                <w:rFonts w:ascii="Arial" w:hAnsi="Arial" w:cs="Arial"/>
                <w:color w:val="000000" w:themeColor="text1"/>
                <w:sz w:val="22"/>
              </w:rPr>
              <w:t>A</w:t>
            </w:r>
          </w:p>
        </w:tc>
        <w:tc>
          <w:tcPr>
            <w:tcW w:w="6399" w:type="dxa"/>
          </w:tcPr>
          <w:p w14:paraId="2DE9B504" w14:textId="77777777" w:rsidR="005339CA" w:rsidRDefault="005339CA" w:rsidP="00BE4159">
            <w:pPr>
              <w:rPr>
                <w:rFonts w:ascii="Arial" w:hAnsi="Arial" w:cs="Arial"/>
                <w:sz w:val="22"/>
              </w:rPr>
            </w:pPr>
            <w:r w:rsidRPr="005339CA">
              <w:rPr>
                <w:rFonts w:ascii="Arial" w:hAnsi="Arial" w:cs="Arial"/>
                <w:sz w:val="22"/>
              </w:rPr>
              <w:t>DNA Sequences</w:t>
            </w:r>
          </w:p>
          <w:p w14:paraId="2F3EA5DD" w14:textId="1D6B069F" w:rsidR="00B96E0C" w:rsidRPr="005339CA" w:rsidRDefault="00B96E0C" w:rsidP="00BE4159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40E68E33" w14:textId="363645C9" w:rsidR="005E3A33" w:rsidRDefault="005339CA" w:rsidP="005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EA1A0F" w14:textId="77777777" w:rsidR="005E3A33" w:rsidRDefault="005E3A33" w:rsidP="005E3A33">
      <w:pPr>
        <w:rPr>
          <w:rFonts w:ascii="Arial" w:hAnsi="Arial" w:cs="Arial"/>
          <w:b/>
        </w:rPr>
      </w:pPr>
    </w:p>
    <w:p w14:paraId="1AF6A1FE" w14:textId="77777777" w:rsidR="005E3A33" w:rsidRDefault="005E3A33" w:rsidP="005E3A33">
      <w:pPr>
        <w:rPr>
          <w:noProof/>
        </w:rPr>
      </w:pPr>
    </w:p>
    <w:p w14:paraId="46806252" w14:textId="4648C4F9" w:rsidR="001F16D0" w:rsidRDefault="001F16D0" w:rsidP="005E3A33">
      <w:pPr>
        <w:rPr>
          <w:rFonts w:ascii="Arial" w:hAnsi="Arial" w:cs="Arial"/>
          <w:b/>
        </w:rPr>
      </w:pPr>
    </w:p>
    <w:p w14:paraId="70B94E7C" w14:textId="77777777" w:rsidR="001F16D0" w:rsidRDefault="001F16D0" w:rsidP="005E3A33">
      <w:pPr>
        <w:rPr>
          <w:rFonts w:ascii="Arial" w:hAnsi="Arial" w:cs="Arial"/>
          <w:b/>
        </w:rPr>
      </w:pPr>
    </w:p>
    <w:p w14:paraId="5BCA4AE3" w14:textId="77777777" w:rsidR="001F16D0" w:rsidRDefault="005070B1" w:rsidP="005070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6A2EF11" wp14:editId="73BA26CE">
            <wp:extent cx="5245100" cy="269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pplemental Figure 3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C8BC" w14:textId="77777777" w:rsidR="001F16D0" w:rsidRDefault="001F16D0" w:rsidP="005070B1">
      <w:pPr>
        <w:rPr>
          <w:rFonts w:ascii="Arial" w:hAnsi="Arial" w:cs="Arial"/>
          <w:b/>
        </w:rPr>
      </w:pPr>
    </w:p>
    <w:p w14:paraId="29AF56D5" w14:textId="4583EFCE" w:rsidR="005070B1" w:rsidRDefault="005070B1" w:rsidP="005070B1">
      <w:pPr>
        <w:rPr>
          <w:rFonts w:ascii="Arial" w:hAnsi="Arial" w:cs="Arial"/>
        </w:rPr>
      </w:pPr>
      <w:r w:rsidRPr="00251BEF">
        <w:rPr>
          <w:rFonts w:ascii="Arial" w:hAnsi="Arial" w:cs="Arial"/>
          <w:b/>
        </w:rPr>
        <w:t>S</w:t>
      </w:r>
      <w:r w:rsidR="00B96E0C">
        <w:rPr>
          <w:rFonts w:ascii="Arial" w:hAnsi="Arial" w:cs="Arial"/>
          <w:b/>
        </w:rPr>
        <w:t xml:space="preserve">1 </w:t>
      </w:r>
      <w:r w:rsidRPr="00251BEF">
        <w:rPr>
          <w:rFonts w:ascii="Arial" w:hAnsi="Arial" w:cs="Arial"/>
          <w:b/>
        </w:rPr>
        <w:t xml:space="preserve">Figure </w:t>
      </w:r>
      <w:r w:rsidR="00B96E0C">
        <w:rPr>
          <w:rFonts w:ascii="Arial" w:hAnsi="Arial" w:cs="Arial"/>
          <w:b/>
        </w:rPr>
        <w:t>A</w:t>
      </w:r>
      <w:r w:rsidRPr="00F65800">
        <w:rPr>
          <w:rFonts w:ascii="Arial" w:hAnsi="Arial" w:cs="Arial"/>
        </w:rPr>
        <w:t xml:space="preserve">. Opsonization of </w:t>
      </w:r>
      <w:r>
        <w:rPr>
          <w:rFonts w:ascii="Arial" w:hAnsi="Arial" w:cs="Arial"/>
        </w:rPr>
        <w:t xml:space="preserve">JRFL SOSIP-conjugated </w:t>
      </w:r>
      <w:r w:rsidRPr="00F65800">
        <w:rPr>
          <w:rFonts w:ascii="Arial" w:hAnsi="Arial" w:cs="Arial"/>
        </w:rPr>
        <w:t xml:space="preserve">beads by selected hinge variants. </w:t>
      </w:r>
    </w:p>
    <w:p w14:paraId="774C6CE9" w14:textId="49FB1730" w:rsidR="00EF0CA5" w:rsidRDefault="00EF0CA5" w:rsidP="005E3A33">
      <w:pPr>
        <w:rPr>
          <w:rFonts w:ascii="Arial" w:hAnsi="Arial" w:cs="Arial"/>
          <w:b/>
        </w:rPr>
      </w:pPr>
    </w:p>
    <w:p w14:paraId="40B55FAF" w14:textId="09248ED9" w:rsidR="00EF0CA5" w:rsidRDefault="00EF0CA5" w:rsidP="005E3A33">
      <w:pPr>
        <w:rPr>
          <w:rFonts w:ascii="Arial" w:hAnsi="Arial" w:cs="Arial"/>
          <w:b/>
        </w:rPr>
      </w:pPr>
    </w:p>
    <w:p w14:paraId="44FA0D87" w14:textId="227089D6" w:rsidR="005070B1" w:rsidRDefault="00AE519A" w:rsidP="005070B1">
      <w:pPr>
        <w:rPr>
          <w:rFonts w:ascii="Arial" w:hAnsi="Arial" w:cs="Arial"/>
          <w:b/>
        </w:rPr>
      </w:pPr>
      <w:r w:rsidRPr="00AE519A">
        <w:rPr>
          <w:rFonts w:ascii="Arial" w:hAnsi="Arial" w:cs="Arial"/>
          <w:b/>
          <w:noProof/>
        </w:rPr>
        <w:drawing>
          <wp:inline distT="0" distB="0" distL="0" distR="0" wp14:anchorId="52648DF7" wp14:editId="76A71D0C">
            <wp:extent cx="4368800" cy="252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B7EA" w14:textId="77777777" w:rsidR="001F16D0" w:rsidRDefault="001F16D0" w:rsidP="005070B1">
      <w:pPr>
        <w:rPr>
          <w:rFonts w:ascii="Arial" w:hAnsi="Arial" w:cs="Arial"/>
          <w:b/>
        </w:rPr>
      </w:pPr>
    </w:p>
    <w:p w14:paraId="5A88DF3E" w14:textId="227D8C81" w:rsidR="00EF0CA5" w:rsidRPr="002F715B" w:rsidRDefault="00B96E0C" w:rsidP="005E3A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S1 </w:t>
      </w:r>
      <w:r w:rsidR="005070B1" w:rsidRPr="00251BEF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B</w:t>
      </w:r>
      <w:r w:rsidR="005070B1" w:rsidRPr="00F65800">
        <w:rPr>
          <w:rFonts w:ascii="Arial" w:hAnsi="Arial" w:cs="Arial"/>
        </w:rPr>
        <w:t xml:space="preserve">. </w:t>
      </w:r>
      <w:r w:rsidR="005070B1">
        <w:rPr>
          <w:rFonts w:ascii="Arial" w:hAnsi="Arial" w:cs="Arial"/>
        </w:rPr>
        <w:t>Phagocytosis activity of VRC01 IgG3 hinge variants in THP-1 assay against</w:t>
      </w:r>
      <w:r w:rsidR="006A7DB1">
        <w:rPr>
          <w:rFonts w:ascii="Arial" w:hAnsi="Arial" w:cs="Arial"/>
        </w:rPr>
        <w:t xml:space="preserve"> </w:t>
      </w:r>
      <w:r w:rsidR="006A7DB1" w:rsidRPr="00495A8F">
        <w:rPr>
          <w:rFonts w:ascii="Arial" w:hAnsi="Arial" w:cs="Arial"/>
          <w:color w:val="000000"/>
          <w:sz w:val="22"/>
          <w:szCs w:val="22"/>
        </w:rPr>
        <w:t>CH505</w:t>
      </w:r>
      <w:r w:rsidR="006A7DB1">
        <w:rPr>
          <w:rFonts w:ascii="Arial" w:hAnsi="Arial" w:cs="Arial"/>
          <w:color w:val="000000"/>
          <w:sz w:val="22"/>
          <w:szCs w:val="22"/>
        </w:rPr>
        <w:t>TF</w:t>
      </w:r>
      <w:r w:rsidR="006A7DB1" w:rsidRPr="00495A8F">
        <w:rPr>
          <w:rFonts w:ascii="Arial" w:hAnsi="Arial" w:cs="Arial"/>
          <w:color w:val="000000"/>
          <w:sz w:val="22"/>
          <w:szCs w:val="22"/>
        </w:rPr>
        <w:t xml:space="preserve"> gp140</w:t>
      </w:r>
      <w:r w:rsidR="005070B1">
        <w:rPr>
          <w:rFonts w:ascii="Arial" w:hAnsi="Arial" w:cs="Arial"/>
        </w:rPr>
        <w:t xml:space="preserve"> antigen-conjugated beads. AU: arbitrary units.</w:t>
      </w:r>
    </w:p>
    <w:p w14:paraId="0DF5E532" w14:textId="2D666B68" w:rsidR="001F16D0" w:rsidRDefault="001F16D0" w:rsidP="005E3A33">
      <w:pPr>
        <w:rPr>
          <w:rFonts w:ascii="Arial" w:hAnsi="Arial" w:cs="Arial"/>
          <w:b/>
        </w:rPr>
      </w:pPr>
    </w:p>
    <w:p w14:paraId="670A3CEA" w14:textId="77777777" w:rsidR="002F715B" w:rsidRDefault="002F715B" w:rsidP="002F715B">
      <w:r>
        <w:rPr>
          <w:noProof/>
        </w:rPr>
        <w:lastRenderedPageBreak/>
        <w:drawing>
          <wp:inline distT="0" distB="0" distL="0" distR="0" wp14:anchorId="7547DB7B" wp14:editId="60BBF651">
            <wp:extent cx="5943600" cy="3179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CEAD" w14:textId="77777777" w:rsidR="002F715B" w:rsidRDefault="002F715B" w:rsidP="002F715B">
      <w:pPr>
        <w:rPr>
          <w:rFonts w:ascii="Arial" w:hAnsi="Arial" w:cs="Arial"/>
          <w:b/>
        </w:rPr>
      </w:pPr>
    </w:p>
    <w:p w14:paraId="55388B61" w14:textId="378C7552" w:rsidR="002F715B" w:rsidRDefault="002F715B" w:rsidP="002F715B">
      <w:pPr>
        <w:rPr>
          <w:rFonts w:ascii="Arial" w:hAnsi="Arial" w:cs="Arial"/>
        </w:rPr>
      </w:pPr>
      <w:r w:rsidRPr="00251BEF">
        <w:rPr>
          <w:rFonts w:ascii="Arial" w:hAnsi="Arial" w:cs="Arial"/>
          <w:b/>
        </w:rPr>
        <w:t>S</w:t>
      </w:r>
      <w:r w:rsidR="00B96E0C">
        <w:rPr>
          <w:rFonts w:ascii="Arial" w:hAnsi="Arial" w:cs="Arial"/>
          <w:b/>
        </w:rPr>
        <w:t xml:space="preserve">1 </w:t>
      </w:r>
      <w:r w:rsidRPr="00251BEF">
        <w:rPr>
          <w:rFonts w:ascii="Arial" w:hAnsi="Arial" w:cs="Arial"/>
          <w:b/>
        </w:rPr>
        <w:t xml:space="preserve">Figure </w:t>
      </w:r>
      <w:r w:rsidR="00B96E0C">
        <w:rPr>
          <w:rFonts w:ascii="Arial" w:hAnsi="Arial" w:cs="Arial"/>
          <w:b/>
        </w:rPr>
        <w:t>C</w:t>
      </w:r>
      <w:r w:rsidRPr="00F65800">
        <w:rPr>
          <w:rFonts w:ascii="Arial" w:hAnsi="Arial" w:cs="Arial"/>
        </w:rPr>
        <w:t xml:space="preserve">. Gating strategy used for </w:t>
      </w:r>
      <w:r>
        <w:rPr>
          <w:rFonts w:ascii="Arial" w:hAnsi="Arial" w:cs="Arial"/>
        </w:rPr>
        <w:t xml:space="preserve">the </w:t>
      </w:r>
      <w:r w:rsidRPr="00F65800">
        <w:rPr>
          <w:rFonts w:ascii="Arial" w:hAnsi="Arial" w:cs="Arial"/>
        </w:rPr>
        <w:t>PB</w:t>
      </w:r>
      <w:r>
        <w:rPr>
          <w:rFonts w:ascii="Arial" w:hAnsi="Arial" w:cs="Arial"/>
        </w:rPr>
        <w:t>M</w:t>
      </w:r>
      <w:r w:rsidRPr="00F65800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phagocytosis assay</w:t>
      </w:r>
      <w:r w:rsidRPr="00F65800">
        <w:rPr>
          <w:rFonts w:ascii="Arial" w:hAnsi="Arial" w:cs="Arial"/>
        </w:rPr>
        <w:t>. The FSC/SSC gate was drawn to exclude non-phagocyt</w:t>
      </w:r>
      <w:r>
        <w:rPr>
          <w:rFonts w:ascii="Arial" w:hAnsi="Arial" w:cs="Arial"/>
        </w:rPr>
        <w:t>os</w:t>
      </w:r>
      <w:r w:rsidRPr="00F65800">
        <w:rPr>
          <w:rFonts w:ascii="Arial" w:hAnsi="Arial" w:cs="Arial"/>
        </w:rPr>
        <w:t>ed beads (low FSC, high SSC) as well as lymphocytes (</w:t>
      </w:r>
      <w:r>
        <w:rPr>
          <w:rFonts w:ascii="Arial" w:hAnsi="Arial" w:cs="Arial"/>
        </w:rPr>
        <w:t>l</w:t>
      </w:r>
      <w:r w:rsidRPr="00F65800">
        <w:rPr>
          <w:rFonts w:ascii="Arial" w:hAnsi="Arial" w:cs="Arial"/>
        </w:rPr>
        <w:t xml:space="preserve">ow FSC, low SSC). </w:t>
      </w:r>
      <w:r>
        <w:rPr>
          <w:rFonts w:ascii="Arial" w:hAnsi="Arial" w:cs="Arial"/>
        </w:rPr>
        <w:t>Along with monocytes, g</w:t>
      </w:r>
      <w:r w:rsidRPr="00F65800">
        <w:rPr>
          <w:rFonts w:ascii="Arial" w:hAnsi="Arial" w:cs="Arial"/>
        </w:rPr>
        <w:t xml:space="preserve">ranulocytes were captured by the </w:t>
      </w:r>
      <w:r>
        <w:rPr>
          <w:rFonts w:ascii="Arial" w:hAnsi="Arial" w:cs="Arial"/>
        </w:rPr>
        <w:t>gating strategy employed, which was also designed</w:t>
      </w:r>
      <w:r w:rsidRPr="00F65800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also</w:t>
      </w:r>
      <w:r w:rsidRPr="00F65800">
        <w:rPr>
          <w:rFonts w:ascii="Arial" w:hAnsi="Arial" w:cs="Arial"/>
        </w:rPr>
        <w:t xml:space="preserve"> account for gain in SSC </w:t>
      </w:r>
      <w:r>
        <w:rPr>
          <w:rFonts w:ascii="Arial" w:hAnsi="Arial" w:cs="Arial"/>
        </w:rPr>
        <w:t>for cells</w:t>
      </w:r>
      <w:r w:rsidRPr="00F65800">
        <w:rPr>
          <w:rFonts w:ascii="Arial" w:hAnsi="Arial" w:cs="Arial"/>
        </w:rPr>
        <w:t xml:space="preserve"> phagocytosing </w:t>
      </w:r>
      <w:r>
        <w:rPr>
          <w:rFonts w:ascii="Arial" w:hAnsi="Arial" w:cs="Arial"/>
        </w:rPr>
        <w:t>beads</w:t>
      </w:r>
      <w:r w:rsidRPr="00F658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 a n</w:t>
      </w:r>
      <w:r w:rsidRPr="00F65800">
        <w:rPr>
          <w:rFonts w:ascii="Arial" w:hAnsi="Arial" w:cs="Arial"/>
        </w:rPr>
        <w:t>egative control</w:t>
      </w:r>
      <w:r>
        <w:rPr>
          <w:rFonts w:ascii="Arial" w:hAnsi="Arial" w:cs="Arial"/>
        </w:rPr>
        <w:t>,</w:t>
      </w:r>
      <w:r w:rsidRPr="00F65800">
        <w:rPr>
          <w:rFonts w:ascii="Arial" w:hAnsi="Arial" w:cs="Arial"/>
        </w:rPr>
        <w:t xml:space="preserve"> PMBCs </w:t>
      </w:r>
      <w:r>
        <w:rPr>
          <w:rFonts w:ascii="Arial" w:hAnsi="Arial" w:cs="Arial"/>
        </w:rPr>
        <w:t>alone (left)</w:t>
      </w:r>
      <w:r w:rsidRPr="00F6580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Pr="00F65800">
        <w:rPr>
          <w:rFonts w:ascii="Arial" w:hAnsi="Arial" w:cs="Arial"/>
        </w:rPr>
        <w:t xml:space="preserve"> used to draw a gate for </w:t>
      </w:r>
      <w:r>
        <w:rPr>
          <w:rFonts w:ascii="Arial" w:hAnsi="Arial" w:cs="Arial"/>
        </w:rPr>
        <w:t xml:space="preserve">bead </w:t>
      </w:r>
      <w:r w:rsidRPr="00F65800">
        <w:rPr>
          <w:rFonts w:ascii="Arial" w:hAnsi="Arial" w:cs="Arial"/>
        </w:rPr>
        <w:t xml:space="preserve">positive </w:t>
      </w:r>
      <w:r>
        <w:rPr>
          <w:rFonts w:ascii="Arial" w:hAnsi="Arial" w:cs="Arial"/>
        </w:rPr>
        <w:t>cells</w:t>
      </w:r>
      <w:r w:rsidRPr="00F658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 observed for THP-1 cells, PBMC-derived c</w:t>
      </w:r>
      <w:r w:rsidRPr="00F65800">
        <w:rPr>
          <w:rFonts w:ascii="Arial" w:hAnsi="Arial" w:cs="Arial"/>
        </w:rPr>
        <w:t>ells naturally phagocytose</w:t>
      </w:r>
      <w:r>
        <w:rPr>
          <w:rFonts w:ascii="Arial" w:hAnsi="Arial" w:cs="Arial"/>
        </w:rPr>
        <w:t xml:space="preserve"> some </w:t>
      </w:r>
      <w:r w:rsidRPr="00495A8F">
        <w:rPr>
          <w:rFonts w:ascii="Arial" w:hAnsi="Arial" w:cs="Arial"/>
          <w:color w:val="000000"/>
          <w:sz w:val="22"/>
          <w:szCs w:val="22"/>
        </w:rPr>
        <w:t>CH505</w:t>
      </w:r>
      <w:r>
        <w:rPr>
          <w:rFonts w:ascii="Arial" w:hAnsi="Arial" w:cs="Arial"/>
          <w:color w:val="000000"/>
          <w:sz w:val="22"/>
          <w:szCs w:val="22"/>
        </w:rPr>
        <w:t>TF</w:t>
      </w:r>
      <w:r w:rsidRPr="00495A8F">
        <w:rPr>
          <w:rFonts w:ascii="Arial" w:hAnsi="Arial" w:cs="Arial"/>
          <w:color w:val="000000"/>
          <w:sz w:val="22"/>
          <w:szCs w:val="22"/>
        </w:rPr>
        <w:t xml:space="preserve"> gp140</w:t>
      </w:r>
      <w:r>
        <w:rPr>
          <w:rFonts w:ascii="Arial" w:hAnsi="Arial" w:cs="Arial"/>
          <w:color w:val="000000"/>
          <w:sz w:val="22"/>
          <w:szCs w:val="22"/>
        </w:rPr>
        <w:t xml:space="preserve"> antigen-conjugated</w:t>
      </w:r>
      <w:r>
        <w:rPr>
          <w:rFonts w:ascii="Arial" w:hAnsi="Arial" w:cs="Arial"/>
        </w:rPr>
        <w:t xml:space="preserve"> beads</w:t>
      </w:r>
      <w:r w:rsidRPr="00F65800">
        <w:rPr>
          <w:rFonts w:ascii="Arial" w:hAnsi="Arial" w:cs="Arial"/>
        </w:rPr>
        <w:t xml:space="preserve"> even in the absence of antibody </w:t>
      </w:r>
      <w:r>
        <w:rPr>
          <w:rFonts w:ascii="Arial" w:hAnsi="Arial" w:cs="Arial"/>
        </w:rPr>
        <w:t>(center)</w:t>
      </w:r>
      <w:r w:rsidRPr="00F65800">
        <w:rPr>
          <w:rFonts w:ascii="Arial" w:hAnsi="Arial" w:cs="Arial"/>
        </w:rPr>
        <w:t xml:space="preserve"> which were used to normalize the amount of </w:t>
      </w:r>
      <w:r>
        <w:rPr>
          <w:rFonts w:ascii="Arial" w:hAnsi="Arial" w:cs="Arial"/>
        </w:rPr>
        <w:t xml:space="preserve">antibody-dependent phagocytic </w:t>
      </w:r>
      <w:r w:rsidRPr="00F65800">
        <w:rPr>
          <w:rFonts w:ascii="Arial" w:hAnsi="Arial" w:cs="Arial"/>
        </w:rPr>
        <w:t>activity</w:t>
      </w:r>
      <w:r>
        <w:rPr>
          <w:rFonts w:ascii="Arial" w:hAnsi="Arial" w:cs="Arial"/>
        </w:rPr>
        <w:t xml:space="preserve"> (right)</w:t>
      </w:r>
      <w:r w:rsidRPr="00F65800">
        <w:rPr>
          <w:rFonts w:ascii="Arial" w:hAnsi="Arial" w:cs="Arial"/>
        </w:rPr>
        <w:t xml:space="preserve">. </w:t>
      </w:r>
    </w:p>
    <w:p w14:paraId="4D33501E" w14:textId="449578D9" w:rsidR="001F16D0" w:rsidRDefault="001F16D0" w:rsidP="005E3A33">
      <w:pPr>
        <w:rPr>
          <w:rFonts w:ascii="Arial" w:hAnsi="Arial" w:cs="Arial"/>
          <w:b/>
        </w:rPr>
      </w:pPr>
    </w:p>
    <w:p w14:paraId="3549F087" w14:textId="77777777" w:rsidR="001F16D0" w:rsidRPr="00F65800" w:rsidRDefault="001F16D0" w:rsidP="005E3A33">
      <w:pPr>
        <w:rPr>
          <w:rFonts w:ascii="Arial" w:hAnsi="Arial" w:cs="Arial"/>
          <w:b/>
        </w:rPr>
      </w:pPr>
    </w:p>
    <w:p w14:paraId="2C45CBEC" w14:textId="77777777" w:rsidR="005E3A33" w:rsidRDefault="005E3A33" w:rsidP="005E3A3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4046DD7D" wp14:editId="79ABE43E">
            <wp:extent cx="5943600" cy="2977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ure 2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E977" w14:textId="77777777" w:rsidR="005E3A33" w:rsidRDefault="005E3A33" w:rsidP="005E3A33">
      <w:pPr>
        <w:rPr>
          <w:rFonts w:ascii="Arial" w:hAnsi="Arial" w:cs="Arial"/>
          <w:b/>
          <w:noProof/>
        </w:rPr>
      </w:pPr>
    </w:p>
    <w:p w14:paraId="5D9EA101" w14:textId="77777777" w:rsidR="001F16D0" w:rsidRDefault="001F16D0" w:rsidP="005E3A33">
      <w:pPr>
        <w:rPr>
          <w:rFonts w:ascii="Arial" w:hAnsi="Arial" w:cs="Arial"/>
          <w:b/>
          <w:noProof/>
        </w:rPr>
      </w:pPr>
    </w:p>
    <w:p w14:paraId="60852DB4" w14:textId="358E84E1" w:rsidR="005E3A33" w:rsidRDefault="005E3A33" w:rsidP="005E3A33">
      <w:pPr>
        <w:rPr>
          <w:noProof/>
        </w:rPr>
      </w:pPr>
      <w:r w:rsidRPr="00251BEF">
        <w:rPr>
          <w:rFonts w:ascii="Arial" w:hAnsi="Arial" w:cs="Arial"/>
          <w:b/>
          <w:noProof/>
        </w:rPr>
        <w:t>S</w:t>
      </w:r>
      <w:r w:rsidR="00B96E0C">
        <w:rPr>
          <w:rFonts w:ascii="Arial" w:hAnsi="Arial" w:cs="Arial"/>
          <w:b/>
          <w:noProof/>
        </w:rPr>
        <w:t xml:space="preserve">1 </w:t>
      </w:r>
      <w:r w:rsidRPr="00251BEF">
        <w:rPr>
          <w:rFonts w:ascii="Arial" w:hAnsi="Arial" w:cs="Arial"/>
          <w:b/>
          <w:noProof/>
        </w:rPr>
        <w:t xml:space="preserve">Figure </w:t>
      </w:r>
      <w:r w:rsidR="00B96E0C">
        <w:rPr>
          <w:rFonts w:ascii="Arial" w:hAnsi="Arial" w:cs="Arial"/>
          <w:b/>
          <w:noProof/>
        </w:rPr>
        <w:t>D</w:t>
      </w:r>
      <w:r w:rsidRPr="00F65800">
        <w:rPr>
          <w:rFonts w:ascii="Arial" w:hAnsi="Arial" w:cs="Arial"/>
          <w:noProof/>
        </w:rPr>
        <w:t>. Extended receptor and antigen affinity data generated from multiplexed SPR.</w:t>
      </w:r>
      <w:r>
        <w:rPr>
          <w:rFonts w:ascii="Arial" w:hAnsi="Arial" w:cs="Arial"/>
          <w:noProof/>
        </w:rPr>
        <w:t xml:space="preserve"> </w:t>
      </w:r>
    </w:p>
    <w:p w14:paraId="70374A6C" w14:textId="77777777" w:rsidR="005E3A33" w:rsidRDefault="005E3A33" w:rsidP="005E3A33"/>
    <w:p w14:paraId="5DDFDC92" w14:textId="701DBA5B" w:rsidR="00391BE7" w:rsidRDefault="00391BE7" w:rsidP="005E3A33">
      <w:pPr>
        <w:rPr>
          <w:rFonts w:ascii="Arial" w:hAnsi="Arial" w:cs="Arial"/>
        </w:rPr>
      </w:pPr>
    </w:p>
    <w:p w14:paraId="206ADB50" w14:textId="4ACFC94D" w:rsidR="00E36C8F" w:rsidRDefault="00E36C8F"/>
    <w:p w14:paraId="3AE287BB" w14:textId="0AB11582" w:rsidR="00391BE7" w:rsidRDefault="00981FDB" w:rsidP="00391BE7">
      <w:r w:rsidRPr="00981FDB">
        <w:rPr>
          <w:noProof/>
        </w:rPr>
        <w:drawing>
          <wp:inline distT="0" distB="0" distL="0" distR="0" wp14:anchorId="4692D266" wp14:editId="44657C10">
            <wp:extent cx="2565400" cy="1837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6838"/>
                    <a:stretch/>
                  </pic:blipFill>
                  <pic:spPr bwMode="auto">
                    <a:xfrm>
                      <a:off x="0" y="0"/>
                      <a:ext cx="2565400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1D6AE" w14:textId="77777777" w:rsidR="002A749E" w:rsidRDefault="002A749E" w:rsidP="00981FDB">
      <w:pPr>
        <w:rPr>
          <w:rFonts w:ascii="Arial" w:hAnsi="Arial" w:cs="Arial"/>
          <w:b/>
        </w:rPr>
      </w:pPr>
    </w:p>
    <w:p w14:paraId="05E645DF" w14:textId="58D6853C" w:rsidR="00391BE7" w:rsidRPr="00995526" w:rsidRDefault="00391BE7" w:rsidP="00391BE7">
      <w:pPr>
        <w:rPr>
          <w:rFonts w:ascii="Times New Roman" w:eastAsia="Times New Roman" w:hAnsi="Times New Roman" w:cs="Times New Roman"/>
        </w:rPr>
      </w:pPr>
      <w:r w:rsidRPr="0055530E">
        <w:rPr>
          <w:rFonts w:ascii="Arial" w:hAnsi="Arial" w:cs="Arial"/>
          <w:b/>
        </w:rPr>
        <w:t>S</w:t>
      </w:r>
      <w:r w:rsidR="00B96E0C">
        <w:rPr>
          <w:rFonts w:ascii="Arial" w:hAnsi="Arial" w:cs="Arial"/>
          <w:b/>
        </w:rPr>
        <w:t xml:space="preserve">1 </w:t>
      </w:r>
      <w:r w:rsidRPr="0055530E">
        <w:rPr>
          <w:rFonts w:ascii="Arial" w:hAnsi="Arial" w:cs="Arial"/>
          <w:b/>
        </w:rPr>
        <w:t xml:space="preserve">Figure </w:t>
      </w:r>
      <w:r w:rsidR="00B96E0C">
        <w:rPr>
          <w:rFonts w:ascii="Arial" w:hAnsi="Arial" w:cs="Arial"/>
          <w:b/>
        </w:rPr>
        <w:t>E</w:t>
      </w:r>
      <w:r w:rsidRPr="0055530E">
        <w:rPr>
          <w:rFonts w:ascii="Arial" w:hAnsi="Arial" w:cs="Arial"/>
        </w:rPr>
        <w:t xml:space="preserve">. ADCC activity of select VRC01 hinge variants. </w:t>
      </w:r>
      <w:r w:rsidR="00981FDB" w:rsidRPr="00981FDB">
        <w:rPr>
          <w:rFonts w:ascii="Arial" w:eastAsia="Times New Roman" w:hAnsi="Arial" w:cs="Arial"/>
          <w:color w:val="000000"/>
        </w:rPr>
        <w:t>Peak ADCC activity mediated by VRC01-hinge variants against HIV</w:t>
      </w:r>
      <w:r w:rsidR="00995526">
        <w:rPr>
          <w:rFonts w:ascii="Arial" w:eastAsia="Times New Roman" w:hAnsi="Arial" w:cs="Arial"/>
          <w:color w:val="000000"/>
        </w:rPr>
        <w:t xml:space="preserve">-1 Infectious Molecular Clones </w:t>
      </w:r>
      <w:r w:rsidR="00981FDB" w:rsidRPr="00981FDB">
        <w:rPr>
          <w:rFonts w:ascii="Arial" w:eastAsia="Times New Roman" w:hAnsi="Arial" w:cs="Arial"/>
          <w:color w:val="000000"/>
        </w:rPr>
        <w:t>using CEM.NKR cells at targets and PBMCs from seronegative donor as effectors</w:t>
      </w:r>
      <w:r w:rsidR="00995526">
        <w:rPr>
          <w:rFonts w:ascii="Arial" w:eastAsia="Times New Roman" w:hAnsi="Arial" w:cs="Arial"/>
          <w:color w:val="000000"/>
        </w:rPr>
        <w:t xml:space="preserve"> at an </w:t>
      </w:r>
      <w:proofErr w:type="gramStart"/>
      <w:r w:rsidR="00995526">
        <w:rPr>
          <w:rFonts w:ascii="Arial" w:eastAsia="Times New Roman" w:hAnsi="Arial" w:cs="Arial"/>
          <w:color w:val="000000"/>
        </w:rPr>
        <w:t>E:T</w:t>
      </w:r>
      <w:proofErr w:type="gramEnd"/>
      <w:r w:rsidR="00995526">
        <w:rPr>
          <w:rFonts w:ascii="Arial" w:eastAsia="Times New Roman" w:hAnsi="Arial" w:cs="Arial"/>
          <w:color w:val="000000"/>
        </w:rPr>
        <w:t xml:space="preserve"> ration of 30:1</w:t>
      </w:r>
      <w:r w:rsidR="00981FDB" w:rsidRPr="00981FDB">
        <w:rPr>
          <w:rFonts w:ascii="Arial" w:eastAsia="Times New Roman" w:hAnsi="Arial" w:cs="Arial"/>
          <w:color w:val="000000"/>
        </w:rPr>
        <w:t>.</w:t>
      </w:r>
      <w:r w:rsidR="00666E45">
        <w:rPr>
          <w:rFonts w:ascii="Arial" w:eastAsia="Times New Roman" w:hAnsi="Arial" w:cs="Arial"/>
          <w:color w:val="000000"/>
        </w:rPr>
        <w:t xml:space="preserve"> Virus strain is indicated in color.</w:t>
      </w:r>
    </w:p>
    <w:p w14:paraId="2833BEA1" w14:textId="77777777" w:rsidR="00F63A75" w:rsidRDefault="00F63A75" w:rsidP="00F63A7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905406" wp14:editId="1DF45135">
            <wp:extent cx="5943600" cy="22917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plemental Figure 1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F5E9" w14:textId="77777777" w:rsidR="00F63A75" w:rsidRDefault="00F63A75" w:rsidP="00F63A75">
      <w:pPr>
        <w:rPr>
          <w:rFonts w:ascii="Arial" w:hAnsi="Arial" w:cs="Arial"/>
          <w:b/>
          <w:noProof/>
        </w:rPr>
      </w:pPr>
    </w:p>
    <w:p w14:paraId="78FADA29" w14:textId="3E84E1D6" w:rsidR="00F63A75" w:rsidRPr="00120038" w:rsidRDefault="00F63A75" w:rsidP="00F63A75">
      <w:pPr>
        <w:rPr>
          <w:rFonts w:ascii="Arial" w:hAnsi="Arial" w:cs="Arial"/>
        </w:rPr>
      </w:pPr>
      <w:r w:rsidRPr="00251BEF">
        <w:rPr>
          <w:rFonts w:ascii="Arial" w:hAnsi="Arial" w:cs="Arial"/>
          <w:b/>
          <w:noProof/>
        </w:rPr>
        <w:t>S</w:t>
      </w:r>
      <w:r w:rsidR="00B96E0C">
        <w:rPr>
          <w:rFonts w:ascii="Arial" w:hAnsi="Arial" w:cs="Arial"/>
          <w:b/>
          <w:noProof/>
        </w:rPr>
        <w:t xml:space="preserve">1 </w:t>
      </w:r>
      <w:r w:rsidRPr="00251BEF">
        <w:rPr>
          <w:rFonts w:ascii="Arial" w:hAnsi="Arial" w:cs="Arial"/>
          <w:b/>
          <w:noProof/>
        </w:rPr>
        <w:t xml:space="preserve">Figure </w:t>
      </w:r>
      <w:r w:rsidR="00B96E0C">
        <w:rPr>
          <w:rFonts w:ascii="Arial" w:hAnsi="Arial" w:cs="Arial"/>
          <w:b/>
          <w:noProof/>
        </w:rPr>
        <w:t>F</w:t>
      </w:r>
      <w:r w:rsidRPr="00F65800">
        <w:rPr>
          <w:rFonts w:ascii="Arial" w:hAnsi="Arial" w:cs="Arial"/>
          <w:noProof/>
        </w:rPr>
        <w:t xml:space="preserve">. Individual components of </w:t>
      </w:r>
      <w:r>
        <w:rPr>
          <w:rFonts w:ascii="Arial" w:hAnsi="Arial" w:cs="Arial"/>
          <w:noProof/>
        </w:rPr>
        <w:t xml:space="preserve">the </w:t>
      </w:r>
      <w:r w:rsidRPr="00F65800">
        <w:rPr>
          <w:rFonts w:ascii="Arial" w:hAnsi="Arial" w:cs="Arial"/>
          <w:noProof/>
        </w:rPr>
        <w:t xml:space="preserve">phagocytosis score plotted </w:t>
      </w:r>
      <w:r w:rsidRPr="00120038">
        <w:rPr>
          <w:rFonts w:ascii="Arial" w:hAnsi="Arial" w:cs="Arial"/>
          <w:noProof/>
        </w:rPr>
        <w:t xml:space="preserve">separately. Percentage of cells which phagocytose one or more beads (left) and MFI of bead positive cells (right) across a titration of antibody for 447-52D IgG1 hinge variants against </w:t>
      </w:r>
      <w:r w:rsidRPr="00120038">
        <w:rPr>
          <w:rFonts w:ascii="Arial" w:hAnsi="Arial" w:cs="Arial"/>
          <w:color w:val="000000"/>
        </w:rPr>
        <w:t>CH505TF gp140 antigen-conjugated beads</w:t>
      </w:r>
      <w:r w:rsidR="00120038">
        <w:rPr>
          <w:rFonts w:ascii="Arial" w:hAnsi="Arial" w:cs="Arial"/>
          <w:color w:val="000000"/>
        </w:rPr>
        <w:t xml:space="preserve"> using PBMC as effectors</w:t>
      </w:r>
      <w:r w:rsidRPr="00120038">
        <w:rPr>
          <w:rFonts w:ascii="Arial" w:hAnsi="Arial" w:cs="Arial"/>
          <w:noProof/>
        </w:rPr>
        <w:t xml:space="preserve">. </w:t>
      </w:r>
      <w:r w:rsidRPr="00120038">
        <w:rPr>
          <w:rFonts w:ascii="Arial" w:hAnsi="Arial" w:cs="Arial"/>
        </w:rPr>
        <w:t>Connecting lines indicate curve fit models. Dotted horizontal line represents activity observed in the absence of Ab. AU: arbitrary units.</w:t>
      </w:r>
    </w:p>
    <w:p w14:paraId="3C91A7E3" w14:textId="77777777" w:rsidR="00391BE7" w:rsidRPr="0055530E" w:rsidRDefault="00391BE7" w:rsidP="005E3A33">
      <w:pPr>
        <w:rPr>
          <w:rFonts w:ascii="Arial" w:hAnsi="Arial" w:cs="Arial"/>
        </w:rPr>
      </w:pPr>
    </w:p>
    <w:p w14:paraId="139E335E" w14:textId="77777777" w:rsidR="00391BE7" w:rsidRPr="0055530E" w:rsidRDefault="00391BE7">
      <w:pPr>
        <w:rPr>
          <w:rFonts w:ascii="Arial" w:hAnsi="Arial" w:cs="Arial"/>
          <w:b/>
        </w:rPr>
      </w:pPr>
      <w:r w:rsidRPr="0055530E">
        <w:rPr>
          <w:rFonts w:ascii="Arial" w:hAnsi="Arial" w:cs="Arial"/>
          <w:b/>
        </w:rPr>
        <w:br w:type="page"/>
      </w:r>
    </w:p>
    <w:p w14:paraId="3C189FC6" w14:textId="380F5035" w:rsidR="005E3A33" w:rsidRPr="00F65800" w:rsidRDefault="005E3A33" w:rsidP="005E3A33">
      <w:pPr>
        <w:rPr>
          <w:rFonts w:ascii="Arial" w:hAnsi="Arial" w:cs="Arial"/>
        </w:rPr>
      </w:pPr>
      <w:r w:rsidRPr="00251BEF">
        <w:rPr>
          <w:rFonts w:ascii="Arial" w:hAnsi="Arial" w:cs="Arial"/>
          <w:b/>
        </w:rPr>
        <w:lastRenderedPageBreak/>
        <w:t>S</w:t>
      </w:r>
      <w:r w:rsidR="00B96E0C">
        <w:rPr>
          <w:rFonts w:ascii="Arial" w:hAnsi="Arial" w:cs="Arial"/>
          <w:b/>
        </w:rPr>
        <w:t>1</w:t>
      </w:r>
      <w:r w:rsidRPr="00251BEF">
        <w:rPr>
          <w:rFonts w:ascii="Arial" w:hAnsi="Arial" w:cs="Arial"/>
          <w:b/>
        </w:rPr>
        <w:t xml:space="preserve"> Table </w:t>
      </w:r>
      <w:r w:rsidR="00B96E0C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</w:t>
      </w:r>
      <w:r w:rsidRPr="00F65800">
        <w:rPr>
          <w:rFonts w:ascii="Arial" w:hAnsi="Arial" w:cs="Arial"/>
        </w:rPr>
        <w:t>DNA Sequences</w:t>
      </w:r>
      <w:r>
        <w:rPr>
          <w:rFonts w:ascii="Arial" w:hAnsi="Arial" w:cs="Arial"/>
        </w:rPr>
        <w:t xml:space="preserve"> </w:t>
      </w:r>
    </w:p>
    <w:p w14:paraId="17B63DE8" w14:textId="77777777" w:rsidR="005E3A33" w:rsidRDefault="005E3A33" w:rsidP="005E3A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5E3A33" w14:paraId="0DBC220D" w14:textId="77777777" w:rsidTr="00BE4159">
        <w:tc>
          <w:tcPr>
            <w:tcW w:w="1368" w:type="dxa"/>
          </w:tcPr>
          <w:p w14:paraId="4571B1FE" w14:textId="77777777" w:rsidR="005E3A33" w:rsidRDefault="005E3A33" w:rsidP="00BE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Hinge</w:t>
            </w:r>
          </w:p>
        </w:tc>
        <w:tc>
          <w:tcPr>
            <w:tcW w:w="8208" w:type="dxa"/>
          </w:tcPr>
          <w:p w14:paraId="35C62668" w14:textId="77777777" w:rsidR="005E3A33" w:rsidRDefault="005E3A33" w:rsidP="00BE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Sequence (5’ </w:t>
            </w:r>
            <w:r w:rsidRPr="00D87DDB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3’)</w:t>
            </w:r>
          </w:p>
        </w:tc>
      </w:tr>
      <w:tr w:rsidR="005E3A33" w14:paraId="2B585D17" w14:textId="77777777" w:rsidTr="00BE4159">
        <w:tc>
          <w:tcPr>
            <w:tcW w:w="1368" w:type="dxa"/>
          </w:tcPr>
          <w:p w14:paraId="0572FE08" w14:textId="77777777" w:rsidR="005E3A33" w:rsidRPr="00CF52A4" w:rsidRDefault="005E3A33" w:rsidP="00BE4159">
            <w:pPr>
              <w:rPr>
                <w:rFonts w:ascii="Arial" w:hAnsi="Arial" w:cs="Arial"/>
              </w:rPr>
            </w:pPr>
            <w:r w:rsidRPr="00CF52A4">
              <w:rPr>
                <w:rFonts w:ascii="Arial" w:hAnsi="Arial" w:cs="Arial"/>
              </w:rPr>
              <w:t>0x</w:t>
            </w:r>
          </w:p>
        </w:tc>
        <w:tc>
          <w:tcPr>
            <w:tcW w:w="8208" w:type="dxa"/>
          </w:tcPr>
          <w:p w14:paraId="278819F4" w14:textId="77777777" w:rsidR="005E3A33" w:rsidRPr="00CF52A4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CF52A4">
              <w:rPr>
                <w:rFonts w:ascii="Arial" w:hAnsi="Arial" w:cs="Arial"/>
                <w:sz w:val="20"/>
                <w:szCs w:val="20"/>
              </w:rPr>
              <w:t>GAGCTCAAAACCCCGCTTGGGGATACCACTCACACATGCCCCAGATGTCCA</w:t>
            </w:r>
          </w:p>
        </w:tc>
      </w:tr>
      <w:tr w:rsidR="005E3A33" w14:paraId="3F0D0415" w14:textId="77777777" w:rsidTr="00BE4159">
        <w:tc>
          <w:tcPr>
            <w:tcW w:w="1368" w:type="dxa"/>
          </w:tcPr>
          <w:p w14:paraId="77F7FEB7" w14:textId="77777777" w:rsidR="005E3A33" w:rsidRPr="00CF52A4" w:rsidRDefault="005E3A33" w:rsidP="00BE4159">
            <w:pPr>
              <w:rPr>
                <w:rFonts w:ascii="Arial" w:hAnsi="Arial" w:cs="Arial"/>
              </w:rPr>
            </w:pPr>
            <w:r w:rsidRPr="00CF52A4">
              <w:rPr>
                <w:rFonts w:ascii="Arial" w:hAnsi="Arial" w:cs="Arial"/>
              </w:rPr>
              <w:t>1x</w:t>
            </w:r>
          </w:p>
        </w:tc>
        <w:tc>
          <w:tcPr>
            <w:tcW w:w="8208" w:type="dxa"/>
          </w:tcPr>
          <w:p w14:paraId="7FF397A1" w14:textId="77777777" w:rsidR="005E3A33" w:rsidRPr="00CF52A4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CF52A4">
              <w:rPr>
                <w:rFonts w:ascii="Arial" w:hAnsi="Arial" w:cs="Arial"/>
                <w:sz w:val="20"/>
                <w:szCs w:val="20"/>
              </w:rPr>
              <w:t>GAACTGAAGACACCCTTGGGCGATACAACTCATACTTGCCCACGATGCCCTGAGCCAAAATCCTGCGACACACCGCCACCCTGCCCCCGCTGTCCA</w:t>
            </w:r>
          </w:p>
        </w:tc>
      </w:tr>
      <w:tr w:rsidR="005E3A33" w14:paraId="549CEECE" w14:textId="77777777" w:rsidTr="00BE4159">
        <w:tc>
          <w:tcPr>
            <w:tcW w:w="1368" w:type="dxa"/>
          </w:tcPr>
          <w:p w14:paraId="7162788F" w14:textId="77777777" w:rsidR="005E3A33" w:rsidRPr="00CF52A4" w:rsidRDefault="005E3A33" w:rsidP="00BE4159">
            <w:pPr>
              <w:rPr>
                <w:rFonts w:ascii="Arial" w:hAnsi="Arial" w:cs="Arial"/>
              </w:rPr>
            </w:pPr>
            <w:r w:rsidRPr="00CF52A4">
              <w:rPr>
                <w:rFonts w:ascii="Arial" w:hAnsi="Arial" w:cs="Arial"/>
              </w:rPr>
              <w:t>2x</w:t>
            </w:r>
          </w:p>
        </w:tc>
        <w:tc>
          <w:tcPr>
            <w:tcW w:w="8208" w:type="dxa"/>
          </w:tcPr>
          <w:p w14:paraId="69B80B78" w14:textId="77777777" w:rsidR="005E3A33" w:rsidRPr="00CF52A4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CF52A4">
              <w:rPr>
                <w:rFonts w:ascii="Arial" w:hAnsi="Arial" w:cs="Arial"/>
                <w:sz w:val="20"/>
                <w:szCs w:val="20"/>
              </w:rPr>
              <w:t>ACCCCTTTGGGAGACACAACCCATACCTGCCCCCGCTGTCCCGAGCCTAAATCCTGCGACACACCCCCTCCTTGTCCCAGGTGTCCTGAACCCAAAAGCTGCGACACACCTCCTCCATGTCCGCGCTGCCCC</w:t>
            </w:r>
          </w:p>
        </w:tc>
      </w:tr>
      <w:tr w:rsidR="005E3A33" w14:paraId="579F6124" w14:textId="77777777" w:rsidTr="00BE4159">
        <w:tc>
          <w:tcPr>
            <w:tcW w:w="1368" w:type="dxa"/>
          </w:tcPr>
          <w:p w14:paraId="23824A7A" w14:textId="77777777" w:rsidR="005E3A33" w:rsidRPr="00CF52A4" w:rsidRDefault="005E3A33" w:rsidP="00BE4159">
            <w:pPr>
              <w:rPr>
                <w:rFonts w:ascii="Arial" w:hAnsi="Arial" w:cs="Arial"/>
              </w:rPr>
            </w:pPr>
            <w:r w:rsidRPr="00CF52A4">
              <w:rPr>
                <w:rFonts w:ascii="Arial" w:hAnsi="Arial" w:cs="Arial"/>
              </w:rPr>
              <w:t>3x</w:t>
            </w:r>
          </w:p>
        </w:tc>
        <w:tc>
          <w:tcPr>
            <w:tcW w:w="8208" w:type="dxa"/>
          </w:tcPr>
          <w:p w14:paraId="586FE48A" w14:textId="77777777" w:rsidR="005E3A33" w:rsidRPr="00CF52A4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CF52A4">
              <w:rPr>
                <w:rFonts w:ascii="Arial" w:hAnsi="Arial" w:cs="Arial"/>
                <w:sz w:val="20"/>
                <w:szCs w:val="20"/>
              </w:rPr>
              <w:t>GAATTGAAGACACCTCTCGGCGACACTACTCACACATGCCCAAGATGCCCAGAGCCTAAGTCCTGCGACACCCCTCCTCCCTGTCCTAGATGCCCTGAGCCAAAGTCTTGCGATACGCCTCCACCCTGCCCTCGGTGTCCTGAGCCTAAATCATGCGATACCCCACCACCATGTCCTCGCTGCCCC</w:t>
            </w:r>
          </w:p>
        </w:tc>
      </w:tr>
      <w:tr w:rsidR="005E3A33" w14:paraId="69F12D74" w14:textId="77777777" w:rsidTr="00BE4159">
        <w:tc>
          <w:tcPr>
            <w:tcW w:w="1368" w:type="dxa"/>
          </w:tcPr>
          <w:p w14:paraId="185E8835" w14:textId="77777777" w:rsidR="005E3A33" w:rsidRPr="00CF52A4" w:rsidRDefault="005E3A33" w:rsidP="00BE4159">
            <w:pPr>
              <w:rPr>
                <w:rFonts w:ascii="Arial" w:hAnsi="Arial" w:cs="Arial"/>
              </w:rPr>
            </w:pPr>
            <w:r w:rsidRPr="00CF52A4">
              <w:rPr>
                <w:rFonts w:ascii="Arial" w:hAnsi="Arial" w:cs="Arial"/>
              </w:rPr>
              <w:t>4x</w:t>
            </w:r>
          </w:p>
        </w:tc>
        <w:tc>
          <w:tcPr>
            <w:tcW w:w="8208" w:type="dxa"/>
          </w:tcPr>
          <w:p w14:paraId="7D9C22D4" w14:textId="77777777" w:rsidR="005E3A33" w:rsidRPr="00CF52A4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CF52A4">
              <w:rPr>
                <w:rFonts w:ascii="Arial" w:hAnsi="Arial" w:cs="Arial"/>
                <w:sz w:val="20"/>
                <w:szCs w:val="20"/>
              </w:rPr>
              <w:t>GAACTCAAAACACCTCTGGGAGATACTACGCACACTTGCCCCAGGTGTCCAGAACCCAAGTCATGCGACACCCCTCCGCCATGTCCCAGGTGCCCCGAGCCAAAGAGCTGTGATACACCTCCTCCATGTCCCAGGTGTCCAGAGCCCAAGTCTTGTGATACACCGCCCCCTTGCCCACGCTGTCCTGAGCCCAAGTCCTGCGATACACCCCCACCATGTCCGAGGTGCCCT</w:t>
            </w:r>
          </w:p>
        </w:tc>
      </w:tr>
      <w:tr w:rsidR="005E3A33" w14:paraId="0458881D" w14:textId="77777777" w:rsidTr="00BE4159">
        <w:tc>
          <w:tcPr>
            <w:tcW w:w="1368" w:type="dxa"/>
          </w:tcPr>
          <w:p w14:paraId="6469A084" w14:textId="77777777" w:rsidR="005E3A33" w:rsidRPr="00CF52A4" w:rsidRDefault="005E3A33" w:rsidP="00BE4159">
            <w:pPr>
              <w:rPr>
                <w:rFonts w:ascii="Arial" w:hAnsi="Arial" w:cs="Arial"/>
              </w:rPr>
            </w:pPr>
            <w:r w:rsidRPr="00CF52A4">
              <w:rPr>
                <w:rFonts w:ascii="Arial" w:hAnsi="Arial" w:cs="Arial"/>
              </w:rPr>
              <w:t>5x</w:t>
            </w:r>
          </w:p>
        </w:tc>
        <w:tc>
          <w:tcPr>
            <w:tcW w:w="8208" w:type="dxa"/>
          </w:tcPr>
          <w:p w14:paraId="433FDEF0" w14:textId="77777777" w:rsidR="005E3A33" w:rsidRPr="00CF52A4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CF52A4">
              <w:rPr>
                <w:rFonts w:ascii="Arial" w:hAnsi="Arial" w:cs="Arial"/>
                <w:sz w:val="20"/>
                <w:szCs w:val="20"/>
              </w:rPr>
              <w:t>GAACTTAAAACCCCCTTGGGCGACACGACACATACATGCCCCCGCTGCCCCGAGCCAAAGTCATGTGATACTCCTCCCCCATGCCCGAGGTGTCCAGAACCTAAGTCATGCGACACTCCTCCCCCCTGCCCCAGGTGCCCTGAGCCAAAGTCTTGTGACACACCGCCGCCCTGCCCACGCTGTCCTGAGCCTAAGAGCTGCGATACACCACCTCCCTGTCCTCGATGTCCGGAACCCAAATCTTGTGATACCCCTCCTCCTTGCCCCCGGTGCCCT</w:t>
            </w:r>
          </w:p>
        </w:tc>
      </w:tr>
      <w:tr w:rsidR="005E3A33" w14:paraId="67A174F7" w14:textId="77777777" w:rsidTr="00BE4159">
        <w:tc>
          <w:tcPr>
            <w:tcW w:w="1368" w:type="dxa"/>
          </w:tcPr>
          <w:p w14:paraId="536A7BBA" w14:textId="77777777" w:rsidR="005E3A33" w:rsidRPr="00CF52A4" w:rsidRDefault="005E3A33" w:rsidP="00BE4159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37197B71" w14:textId="77777777" w:rsidR="005E3A33" w:rsidRPr="00CF52A4" w:rsidRDefault="005E3A33" w:rsidP="00BE4159">
            <w:pPr>
              <w:rPr>
                <w:rFonts w:ascii="Arial" w:hAnsi="Arial" w:cs="Arial"/>
              </w:rPr>
            </w:pPr>
          </w:p>
        </w:tc>
      </w:tr>
      <w:tr w:rsidR="005E3A33" w14:paraId="024A7B26" w14:textId="77777777" w:rsidTr="00BE4159">
        <w:tc>
          <w:tcPr>
            <w:tcW w:w="1368" w:type="dxa"/>
          </w:tcPr>
          <w:p w14:paraId="38111C8B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863DA5">
              <w:rPr>
                <w:rFonts w:ascii="Arial" w:hAnsi="Arial" w:cs="Arial"/>
                <w:sz w:val="20"/>
                <w:szCs w:val="20"/>
              </w:rPr>
              <w:t xml:space="preserve">VRC01 </w:t>
            </w:r>
            <w:proofErr w:type="spellStart"/>
            <w:r w:rsidRPr="00863DA5">
              <w:rPr>
                <w:rFonts w:ascii="Arial" w:hAnsi="Arial" w:cs="Arial"/>
                <w:sz w:val="20"/>
                <w:szCs w:val="20"/>
              </w:rPr>
              <w:t>V</w:t>
            </w:r>
            <w:r w:rsidRPr="00863DA5">
              <w:rPr>
                <w:rFonts w:ascii="Arial" w:hAnsi="Arial" w:cs="Arial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8208" w:type="dxa"/>
          </w:tcPr>
          <w:p w14:paraId="0380E128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863DA5">
              <w:rPr>
                <w:rFonts w:ascii="Arial" w:hAnsi="Arial" w:cs="Arial"/>
                <w:sz w:val="20"/>
                <w:szCs w:val="20"/>
              </w:rPr>
              <w:t>CAGGTGCAGCTGGTGCAGTCTGGAGGTCAGATGAAGAAGCCTGGCGAGTCGATGAGAATTTCTTGTCGGGCTTCTGGATATGAATTTATTGATTGTACGCTAAATTGGATTCGTCTGGCCCCCGGAAAAAGGCCTGAGTGGATGGGATGGCTGAAGCCTCGGGGGGGGGCCGTCAACTACGCACGTCCACTTCAGGGCAGAGTGACCATGACTCGAGACGTTTATTCCGACACAGCCTTTTTGGAGCTGCGCTCGTTGACAGTAGACGACACGGCCGTCTACTTTTGTACTAGGGGAAAAAACTGTGATTACAATTGGGACTTCGAACACTGGGGCCGGGGCACCCCGGTCATCGTCTCA</w:t>
            </w:r>
          </w:p>
        </w:tc>
      </w:tr>
      <w:tr w:rsidR="005E3A33" w14:paraId="354BCE7E" w14:textId="77777777" w:rsidTr="00BE4159">
        <w:tc>
          <w:tcPr>
            <w:tcW w:w="1368" w:type="dxa"/>
          </w:tcPr>
          <w:p w14:paraId="7E631C72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VRC01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proofErr w:type="spellEnd"/>
          </w:p>
        </w:tc>
        <w:tc>
          <w:tcPr>
            <w:tcW w:w="8208" w:type="dxa"/>
          </w:tcPr>
          <w:p w14:paraId="3B4731BC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6944FB">
              <w:rPr>
                <w:rFonts w:ascii="Arial" w:hAnsi="Arial" w:cs="Arial"/>
                <w:sz w:val="20"/>
                <w:szCs w:val="20"/>
              </w:rPr>
              <w:t>GAAATTGTGTTGACACAGTCTCCAGGCACCCTGTCTTTGTCTCCAGGGGAAACAGCCATCATCTCTTGTCGGACCAGTCAGTATGGTTCCTTAGCCTGGTATCAACAGAGGCCCGGCCAGGCCCCCAGGCTCGTCATCTATTCGGGCTCTACTCGGGCCGCTGGCATCCCAGACAGGTTCAGCGGCAGTCGGTGGGGGCCAGACTACAATCTCACCATCAGCAACCTGGAGTCGGGAGATTTTGGTGTTTATTATTGCCAGCAGTATGAATTTTTTGGCCAGGGGACCAAGGTCCAGGTCGACATTAAA</w:t>
            </w:r>
          </w:p>
        </w:tc>
      </w:tr>
      <w:tr w:rsidR="005E3A33" w14:paraId="7AF946B5" w14:textId="77777777" w:rsidTr="00BE4159">
        <w:tc>
          <w:tcPr>
            <w:tcW w:w="1368" w:type="dxa"/>
          </w:tcPr>
          <w:p w14:paraId="383D7F68" w14:textId="77777777" w:rsidR="005E3A33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447-52D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F421F">
              <w:rPr>
                <w:rFonts w:ascii="Arial" w:hAnsi="Arial" w:cs="Arial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8208" w:type="dxa"/>
          </w:tcPr>
          <w:p w14:paraId="2A4D8523" w14:textId="77777777" w:rsidR="005E3A33" w:rsidRPr="006944FB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0F421F">
              <w:rPr>
                <w:rFonts w:ascii="Arial" w:hAnsi="Arial" w:cs="Arial"/>
                <w:sz w:val="20"/>
                <w:szCs w:val="20"/>
              </w:rPr>
              <w:t>GAGGTGCAGCTGGTGGAGTCTGGGGGAGGCTTGGTAAAGCCTGGGGGGTCCCTCAGACTCACCTGTGTAGCCTCTGGTTTCACGTTCAGTGATGTCTGGCTGAACTGGGTCCGCCAGGCTCCAGGGAAGGGGCTGGAGTGGGTCGGCCGTATTAAAAGCAGAACTGATGGTGGGACAACAGACTACGCTGCATCCGTGAAAGGCAGATTCACCATCTCAAGAGATGACTCAAAAAACACGCTATATCTGCAAATGAATAGCCTGAAAACCGAGGACACAGCCGTTTATTCCTGCACCACAGATGGTTTTATTATGATTCGGGGAGTCTCCGAGGACTACTACTACTACTACATGGACGTTTGGGGCAAAGGGACCACGGTCACGGTCTCCTCA</w:t>
            </w:r>
          </w:p>
        </w:tc>
      </w:tr>
      <w:tr w:rsidR="005E3A33" w14:paraId="41F26CF5" w14:textId="77777777" w:rsidTr="00BE4159">
        <w:tc>
          <w:tcPr>
            <w:tcW w:w="1368" w:type="dxa"/>
          </w:tcPr>
          <w:p w14:paraId="481A9A65" w14:textId="77777777" w:rsidR="005E3A33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447-52D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F421F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proofErr w:type="spellEnd"/>
          </w:p>
        </w:tc>
        <w:tc>
          <w:tcPr>
            <w:tcW w:w="8208" w:type="dxa"/>
          </w:tcPr>
          <w:p w14:paraId="3FA1EC48" w14:textId="77777777" w:rsidR="005E3A33" w:rsidRPr="006944FB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0F421F">
              <w:rPr>
                <w:rFonts w:ascii="Arial" w:hAnsi="Arial" w:cs="Arial"/>
                <w:sz w:val="20"/>
                <w:szCs w:val="20"/>
              </w:rPr>
              <w:t>CAGTCTGTGTTGACGCAGCCGCCCTCAGTGTCTGCGGCCCCAGGACAGAAGGTCACCATCTCCTGCTCTGGAAGCAGCTCCAACATTGGGAATAATTATGTATTGTGGTACCAGCAGTTCCCAGGAACAGCCCCCAAACTCCTCATTTATGGCAATAATAAGCGACCCTCAGGGATTCCTGACCGATTCTCTGGCTCCAAGTCTGGCACGTCAGCCACCCTGGGCATCACCGGACTCCAGACTGGGGACGAGGCCGATTATTTCTGCGCAACATGGGATAGCGGCCTGAGTGCTGATTGGGTGTTCGGCGGAGGGACCAAGCTGACCGTCCTAAGT</w:t>
            </w:r>
          </w:p>
        </w:tc>
      </w:tr>
      <w:tr w:rsidR="005E3A33" w14:paraId="48A786A9" w14:textId="77777777" w:rsidTr="00BE4159">
        <w:tc>
          <w:tcPr>
            <w:tcW w:w="1368" w:type="dxa"/>
          </w:tcPr>
          <w:p w14:paraId="0C4AD4F0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863DA5">
              <w:rPr>
                <w:rFonts w:ascii="Arial" w:hAnsi="Arial" w:cs="Arial"/>
                <w:sz w:val="20"/>
                <w:szCs w:val="20"/>
              </w:rPr>
              <w:t>CH1</w:t>
            </w:r>
          </w:p>
        </w:tc>
        <w:tc>
          <w:tcPr>
            <w:tcW w:w="8208" w:type="dxa"/>
          </w:tcPr>
          <w:p w14:paraId="2DD7BE2D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863DA5">
              <w:rPr>
                <w:rFonts w:ascii="Arial" w:hAnsi="Arial" w:cs="Arial"/>
                <w:sz w:val="20"/>
                <w:szCs w:val="20"/>
              </w:rPr>
              <w:t>TCACCGTCGACCAAGGGCCCATCGGTCTTCCCCCTGGCACCCTCCTCCAAGAGCACCTCTGGGGGCACAGCGGCCCTGGGCTGCCTGGTCAAGGACTACTTCCCCGAACCGGTGACGGTGTCGTGGAACTCAGGCGCCCTGACCAGCGGCGTGCACACCTTCCCGGCTGTCCTACAGTCCTCAGGACTCTACTCCCTCAGCAGCGTGGTGACCGTGCCCTCCA</w:t>
            </w:r>
            <w:r w:rsidRPr="00863DA5">
              <w:rPr>
                <w:rFonts w:ascii="Arial" w:hAnsi="Arial" w:cs="Arial"/>
                <w:sz w:val="20"/>
                <w:szCs w:val="20"/>
              </w:rPr>
              <w:lastRenderedPageBreak/>
              <w:t>GCAGCTTGGGCACCCAGACCTACATCTGCAACGTGAATCACAAGCCCAGCAACACCAAGGTGGACAAGAAAGTT</w:t>
            </w:r>
          </w:p>
        </w:tc>
      </w:tr>
      <w:tr w:rsidR="005E3A33" w14:paraId="4AFE72DE" w14:textId="77777777" w:rsidTr="00BE4159">
        <w:tc>
          <w:tcPr>
            <w:tcW w:w="1368" w:type="dxa"/>
          </w:tcPr>
          <w:p w14:paraId="5DE5D1B7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863DA5">
              <w:rPr>
                <w:rFonts w:ascii="Arial" w:hAnsi="Arial" w:cs="Arial"/>
                <w:sz w:val="20"/>
                <w:szCs w:val="20"/>
              </w:rPr>
              <w:lastRenderedPageBreak/>
              <w:t>IgG1 Lower Hinge-CH2-CH3</w:t>
            </w:r>
          </w:p>
        </w:tc>
        <w:tc>
          <w:tcPr>
            <w:tcW w:w="8208" w:type="dxa"/>
          </w:tcPr>
          <w:p w14:paraId="54AB4EE4" w14:textId="77777777" w:rsidR="005E3A33" w:rsidRPr="00863DA5" w:rsidRDefault="005E3A33" w:rsidP="00BE4159">
            <w:pPr>
              <w:rPr>
                <w:rFonts w:ascii="Arial" w:hAnsi="Arial" w:cs="Arial"/>
                <w:sz w:val="20"/>
                <w:szCs w:val="20"/>
              </w:rPr>
            </w:pPr>
            <w:r w:rsidRPr="00863DA5">
              <w:rPr>
                <w:rFonts w:ascii="Arial" w:hAnsi="Arial" w:cs="Arial"/>
                <w:sz w:val="20"/>
                <w:szCs w:val="20"/>
              </w:rPr>
              <w:t>GCACCTGAACTCCTGGGGGGACCGTCAGTCTTCCTCTTCCCCCCAAAACCCAAGGACACCCTCATGATCTCCCGGACCCCTGAGGTCACATGCGTGGTGGTGGACGTGAGCCACGAAGACCCTGAGGTCAAGTTCAACTGGTACGTGGACGGCGTGGAGGTGCATAATGCCAAGACAAAGCCGCGGGAGGAGCAGTACAACAGCACGTACCGTGTGGTCAGCGTCCTCACCGTCCTGCACCAGGACTGGCTGAATGGCAAGGAGTACAAGTGCAAGGTCTCCAACAAAGCCCTCCCAGCCCCCATCGAGAAAACCATCTCCAAAGCCAAAGGGCAGCCCCGAGAACCACAGGTGTACACCCTGCCCCCATCCCGGGATGAGCTGACCAAGAACCAGGTCAGCCTGACCTGCCTGGTCAAAGGCTTCTATCCCAGCGACATCGCCGTGGAGTGGGAGAGCAATGGGCAGCCGGAGAACAACTACAAGACCACGCCTCCCGTGCTGGACTCCGACGGCTCCTTCTTCCTCTACAGCAAGCTCACCGTGGACAAGAGCAGGTGGCAGCAGGGGAACGTCTTCTCATGCTCCGTGATGCATGAGGCTCTGCACAACCACTACACGCAGAAGAGCCTCTCCCTGTCTCCGGGTAAA</w:t>
            </w:r>
          </w:p>
        </w:tc>
      </w:tr>
    </w:tbl>
    <w:p w14:paraId="6F1E3257" w14:textId="660504ED" w:rsidR="00FF791E" w:rsidRDefault="00FF791E"/>
    <w:sectPr w:rsidR="00FF791E" w:rsidSect="0098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axfxp5cdt22jeawrvx2t5nstrvaezftwd5&quot;&gt;hinge&lt;record-ids&gt;&lt;item&gt;65&lt;/item&gt;&lt;/record-ids&gt;&lt;/item&gt;&lt;/Libraries&gt;"/>
  </w:docVars>
  <w:rsids>
    <w:rsidRoot w:val="005E3A33"/>
    <w:rsid w:val="00015E42"/>
    <w:rsid w:val="00016DA8"/>
    <w:rsid w:val="000357C9"/>
    <w:rsid w:val="00074F6E"/>
    <w:rsid w:val="000949DA"/>
    <w:rsid w:val="00096C34"/>
    <w:rsid w:val="000D10C1"/>
    <w:rsid w:val="00120038"/>
    <w:rsid w:val="00130B1E"/>
    <w:rsid w:val="00135C83"/>
    <w:rsid w:val="00143412"/>
    <w:rsid w:val="00164C2A"/>
    <w:rsid w:val="00173E68"/>
    <w:rsid w:val="001A1CD8"/>
    <w:rsid w:val="001C4EC1"/>
    <w:rsid w:val="001E78BC"/>
    <w:rsid w:val="001F16D0"/>
    <w:rsid w:val="00237CB9"/>
    <w:rsid w:val="002503F8"/>
    <w:rsid w:val="002803A0"/>
    <w:rsid w:val="002903A7"/>
    <w:rsid w:val="0029254A"/>
    <w:rsid w:val="002A749E"/>
    <w:rsid w:val="002C6B0B"/>
    <w:rsid w:val="002D2DD5"/>
    <w:rsid w:val="002F149A"/>
    <w:rsid w:val="002F715B"/>
    <w:rsid w:val="0034478A"/>
    <w:rsid w:val="00353333"/>
    <w:rsid w:val="003545BF"/>
    <w:rsid w:val="00363276"/>
    <w:rsid w:val="00377968"/>
    <w:rsid w:val="00377FFA"/>
    <w:rsid w:val="00391BE7"/>
    <w:rsid w:val="00394AA0"/>
    <w:rsid w:val="00402D05"/>
    <w:rsid w:val="00427546"/>
    <w:rsid w:val="00433844"/>
    <w:rsid w:val="004A1E6B"/>
    <w:rsid w:val="004D3158"/>
    <w:rsid w:val="005070B1"/>
    <w:rsid w:val="00527022"/>
    <w:rsid w:val="005339CA"/>
    <w:rsid w:val="00534745"/>
    <w:rsid w:val="0055530E"/>
    <w:rsid w:val="005613E7"/>
    <w:rsid w:val="005A369D"/>
    <w:rsid w:val="005C7EE7"/>
    <w:rsid w:val="005D382D"/>
    <w:rsid w:val="005E3A33"/>
    <w:rsid w:val="005E7EC3"/>
    <w:rsid w:val="005F71E7"/>
    <w:rsid w:val="00614128"/>
    <w:rsid w:val="006523C2"/>
    <w:rsid w:val="00666E45"/>
    <w:rsid w:val="006816C7"/>
    <w:rsid w:val="006869C7"/>
    <w:rsid w:val="00691541"/>
    <w:rsid w:val="006A7DB1"/>
    <w:rsid w:val="006B18C3"/>
    <w:rsid w:val="006C4352"/>
    <w:rsid w:val="0071473D"/>
    <w:rsid w:val="00733E59"/>
    <w:rsid w:val="007659A3"/>
    <w:rsid w:val="0078203C"/>
    <w:rsid w:val="007B71A0"/>
    <w:rsid w:val="00824D64"/>
    <w:rsid w:val="0083625E"/>
    <w:rsid w:val="00894C2F"/>
    <w:rsid w:val="008E5F37"/>
    <w:rsid w:val="00905BA4"/>
    <w:rsid w:val="00913D7D"/>
    <w:rsid w:val="00981FDB"/>
    <w:rsid w:val="009875E5"/>
    <w:rsid w:val="0099072A"/>
    <w:rsid w:val="00995526"/>
    <w:rsid w:val="009A3DB2"/>
    <w:rsid w:val="009E4F5C"/>
    <w:rsid w:val="00A036EC"/>
    <w:rsid w:val="00A2315B"/>
    <w:rsid w:val="00A25A1A"/>
    <w:rsid w:val="00A870C5"/>
    <w:rsid w:val="00AB0EE8"/>
    <w:rsid w:val="00AB331A"/>
    <w:rsid w:val="00AE519A"/>
    <w:rsid w:val="00AE5426"/>
    <w:rsid w:val="00AE77E2"/>
    <w:rsid w:val="00B93D7F"/>
    <w:rsid w:val="00B96E0C"/>
    <w:rsid w:val="00C07C31"/>
    <w:rsid w:val="00C306AE"/>
    <w:rsid w:val="00C43CBA"/>
    <w:rsid w:val="00C71341"/>
    <w:rsid w:val="00CA0612"/>
    <w:rsid w:val="00CD6BBB"/>
    <w:rsid w:val="00CE2821"/>
    <w:rsid w:val="00D07734"/>
    <w:rsid w:val="00D364F1"/>
    <w:rsid w:val="00D85DD1"/>
    <w:rsid w:val="00D93AF3"/>
    <w:rsid w:val="00D96358"/>
    <w:rsid w:val="00DB4CF3"/>
    <w:rsid w:val="00DE1AB0"/>
    <w:rsid w:val="00DF1382"/>
    <w:rsid w:val="00E23985"/>
    <w:rsid w:val="00E36C8F"/>
    <w:rsid w:val="00EA4387"/>
    <w:rsid w:val="00EE5840"/>
    <w:rsid w:val="00EF0CA5"/>
    <w:rsid w:val="00F264A7"/>
    <w:rsid w:val="00F63A75"/>
    <w:rsid w:val="00F851C4"/>
    <w:rsid w:val="00FA1D8F"/>
    <w:rsid w:val="00FB4D63"/>
    <w:rsid w:val="00FB7991"/>
    <w:rsid w:val="00FD1E7E"/>
    <w:rsid w:val="00FE663B"/>
    <w:rsid w:val="00FF3FFD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6B66"/>
  <w14:defaultImageDpi w14:val="32767"/>
  <w15:docId w15:val="{80BD1659-F34C-C84E-A5E3-B8D0E61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33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5530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530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5530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5530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2B005A2CE2348A652630DC3C2D173" ma:contentTypeVersion="12" ma:contentTypeDescription="Create a new document." ma:contentTypeScope="" ma:versionID="5d41169de4eaf602158fb1547088eba4">
  <xsd:schema xmlns:xsd="http://www.w3.org/2001/XMLSchema" xmlns:xs="http://www.w3.org/2001/XMLSchema" xmlns:p="http://schemas.microsoft.com/office/2006/metadata/properties" xmlns:ns3="d34b0f20-14bc-4f5b-96c7-69df6b777537" xmlns:ns4="56df92a0-922e-4f85-b14d-910f54e16d12" targetNamespace="http://schemas.microsoft.com/office/2006/metadata/properties" ma:root="true" ma:fieldsID="5ed5ea6b1e53ce7e7ba96785b042f036" ns3:_="" ns4:_="">
    <xsd:import namespace="d34b0f20-14bc-4f5b-96c7-69df6b777537"/>
    <xsd:import namespace="56df92a0-922e-4f85-b14d-910f54e16d1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b0f20-14bc-4f5b-96c7-69df6b7775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92a0-922e-4f85-b14d-910f54e16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9A3B8-156D-4590-B529-668765F42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E73EE-36AF-4F68-8FB9-4F3CAECC6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F5F38-1A01-48EC-86FC-C0EE7016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b0f20-14bc-4f5b-96c7-69df6b777537"/>
    <ds:schemaRef ds:uri="56df92a0-922e-4f85-b14d-910f54e16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Mallard</cp:lastModifiedBy>
  <cp:revision>2</cp:revision>
  <dcterms:created xsi:type="dcterms:W3CDTF">2020-02-12T15:37:00Z</dcterms:created>
  <dcterms:modified xsi:type="dcterms:W3CDTF">2020-02-12T15:37:00Z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0x0101009422B005A2CE2348A652630DC3C2D173</vt:lpwstr>
  </property>
</Properties>
</file>