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F3" w:rsidRPr="00BB49B8" w:rsidRDefault="0052175C" w:rsidP="00E132F3">
      <w:pPr>
        <w:rPr>
          <w:rFonts w:ascii="Arial" w:hAnsi="Arial" w:cs="Arial"/>
          <w:b/>
          <w:sz w:val="28"/>
          <w:lang w:val="de-DE"/>
        </w:rPr>
      </w:pPr>
      <w:r w:rsidRPr="00BB49B8">
        <w:rPr>
          <w:rFonts w:ascii="Arial" w:hAnsi="Arial" w:cs="Arial"/>
          <w:b/>
          <w:sz w:val="28"/>
          <w:lang w:val="de-DE"/>
        </w:rPr>
        <w:t>Table S1 References:</w:t>
      </w:r>
    </w:p>
    <w:p w:rsidR="00E132F3" w:rsidRPr="00BB49B8" w:rsidRDefault="00E132F3" w:rsidP="00E132F3">
      <w:pPr>
        <w:pStyle w:val="EndNoteBibliography"/>
        <w:ind w:left="426" w:hanging="426"/>
        <w:rPr>
          <w:noProof/>
          <w:color w:val="000000" w:themeColor="text1"/>
        </w:rPr>
      </w:pPr>
      <w:r w:rsidRPr="00AE2C6C">
        <w:rPr>
          <w:color w:val="000000" w:themeColor="text1"/>
        </w:rPr>
        <w:fldChar w:fldCharType="begin"/>
      </w:r>
      <w:r w:rsidRPr="00BB49B8">
        <w:rPr>
          <w:color w:val="000000" w:themeColor="text1"/>
        </w:rPr>
        <w:instrText xml:space="preserve"> ADDIN EN.REFLIST </w:instrText>
      </w:r>
      <w:r w:rsidRPr="00AE2C6C">
        <w:rPr>
          <w:color w:val="000000" w:themeColor="text1"/>
        </w:rPr>
        <w:fldChar w:fldCharType="separate"/>
      </w:r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0" w:name="_ENREF_27"/>
      <w:bookmarkStart w:id="1" w:name="_ENREF_34"/>
      <w:bookmarkStart w:id="2" w:name="_ENREF_67"/>
      <w:bookmarkStart w:id="3" w:name="_ENREF_69"/>
      <w:r>
        <w:rPr>
          <w:noProof/>
          <w:color w:val="000000" w:themeColor="text1"/>
          <w:lang w:val="en-US"/>
        </w:rPr>
        <w:t>1</w:t>
      </w:r>
      <w:r w:rsidRPr="00AE2C6C">
        <w:rPr>
          <w:noProof/>
          <w:color w:val="000000" w:themeColor="text1"/>
          <w:lang w:val="en-US"/>
        </w:rPr>
        <w:t>.</w:t>
      </w:r>
      <w:r w:rsidRPr="00AE2C6C">
        <w:rPr>
          <w:noProof/>
          <w:color w:val="000000" w:themeColor="text1"/>
          <w:lang w:val="en-US"/>
        </w:rPr>
        <w:tab/>
        <w:t>Manoil C, Beckwith J. A genetic approach to analyzing membrane protein topology. Science. 1986;233:1403-8.</w:t>
      </w:r>
      <w:bookmarkEnd w:id="3"/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4" w:name="_ENREF_70"/>
      <w:r>
        <w:rPr>
          <w:noProof/>
          <w:color w:val="000000" w:themeColor="text1"/>
          <w:lang w:val="en-US"/>
        </w:rPr>
        <w:t>2</w:t>
      </w:r>
      <w:r w:rsidRPr="00AE2C6C">
        <w:rPr>
          <w:noProof/>
          <w:color w:val="000000" w:themeColor="text1"/>
          <w:lang w:val="en-US"/>
        </w:rPr>
        <w:t>.</w:t>
      </w:r>
      <w:r w:rsidRPr="00AE2C6C">
        <w:rPr>
          <w:noProof/>
          <w:color w:val="000000" w:themeColor="text1"/>
          <w:lang w:val="en-US"/>
        </w:rPr>
        <w:tab/>
        <w:t xml:space="preserve">Simon R, Priefer U, Puehler A. A broad host range mobilization system for </w:t>
      </w:r>
      <w:r w:rsidRPr="00AE2C6C">
        <w:rPr>
          <w:i/>
          <w:noProof/>
          <w:color w:val="000000" w:themeColor="text1"/>
          <w:lang w:val="en-US"/>
        </w:rPr>
        <w:t>in vivo</w:t>
      </w:r>
      <w:r w:rsidRPr="00AE2C6C">
        <w:rPr>
          <w:noProof/>
          <w:color w:val="000000" w:themeColor="text1"/>
          <w:lang w:val="en-US"/>
        </w:rPr>
        <w:t xml:space="preserve"> genetic engineering: transposon mutagenesis in gram negative bacteria. Biotechnology. 1983;1:784-91.</w:t>
      </w:r>
      <w:bookmarkEnd w:id="4"/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5" w:name="_ENREF_71"/>
      <w:r>
        <w:rPr>
          <w:noProof/>
          <w:color w:val="000000" w:themeColor="text1"/>
          <w:lang w:val="en-US"/>
        </w:rPr>
        <w:t>3</w:t>
      </w:r>
      <w:r w:rsidRPr="00AE2C6C">
        <w:rPr>
          <w:noProof/>
          <w:color w:val="000000" w:themeColor="text1"/>
          <w:lang w:val="en-US"/>
        </w:rPr>
        <w:t>.</w:t>
      </w:r>
      <w:r w:rsidRPr="00AE2C6C">
        <w:rPr>
          <w:noProof/>
          <w:color w:val="000000" w:themeColor="text1"/>
          <w:lang w:val="en-US"/>
        </w:rPr>
        <w:tab/>
        <w:t>Studier FW, Moffatt BA. Use of bacteriophage T7 RNA polymerase to direct selective high-level expression. J Mol Biol. 1986;189:113-30.</w:t>
      </w:r>
      <w:bookmarkEnd w:id="5"/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6" w:name="_ENREF_72"/>
      <w:r>
        <w:rPr>
          <w:noProof/>
          <w:color w:val="000000" w:themeColor="text1"/>
          <w:lang w:val="en-US"/>
        </w:rPr>
        <w:t>4</w:t>
      </w:r>
      <w:r w:rsidRPr="00AE2C6C">
        <w:rPr>
          <w:noProof/>
          <w:color w:val="000000" w:themeColor="text1"/>
          <w:lang w:val="en-US"/>
        </w:rPr>
        <w:t>.</w:t>
      </w:r>
      <w:r w:rsidRPr="00AE2C6C">
        <w:rPr>
          <w:noProof/>
          <w:color w:val="000000" w:themeColor="text1"/>
          <w:lang w:val="en-US"/>
        </w:rPr>
        <w:tab/>
        <w:t xml:space="preserve">Bolin I, Norlander I, Wolf-Watz H. Temperature-inducible outer membrane protein of </w:t>
      </w:r>
      <w:r w:rsidRPr="00AE2C6C">
        <w:rPr>
          <w:i/>
          <w:noProof/>
          <w:color w:val="000000" w:themeColor="text1"/>
          <w:lang w:val="en-US"/>
        </w:rPr>
        <w:t>Yersinia pseudotuberculosis</w:t>
      </w:r>
      <w:r w:rsidRPr="00AE2C6C">
        <w:rPr>
          <w:noProof/>
          <w:color w:val="000000" w:themeColor="text1"/>
          <w:lang w:val="en-US"/>
        </w:rPr>
        <w:t xml:space="preserve"> and </w:t>
      </w:r>
      <w:r w:rsidRPr="00AE2C6C">
        <w:rPr>
          <w:i/>
          <w:noProof/>
          <w:color w:val="000000" w:themeColor="text1"/>
          <w:lang w:val="en-US"/>
        </w:rPr>
        <w:t>Yersinia enterocolitica</w:t>
      </w:r>
      <w:r w:rsidRPr="00AE2C6C">
        <w:rPr>
          <w:noProof/>
          <w:color w:val="000000" w:themeColor="text1"/>
          <w:lang w:val="en-US"/>
        </w:rPr>
        <w:t xml:space="preserve"> is associated with the virulence plasmid. Infect Immun. 1982;37:506-12.</w:t>
      </w:r>
      <w:bookmarkEnd w:id="6"/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7" w:name="_ENREF_73"/>
      <w:r>
        <w:rPr>
          <w:noProof/>
          <w:color w:val="000000" w:themeColor="text1"/>
          <w:lang w:val="en-US"/>
        </w:rPr>
        <w:t>5</w:t>
      </w:r>
      <w:r w:rsidRPr="00AE2C6C">
        <w:rPr>
          <w:noProof/>
          <w:color w:val="000000" w:themeColor="text1"/>
          <w:lang w:val="en-US"/>
        </w:rPr>
        <w:t>.</w:t>
      </w:r>
      <w:r w:rsidRPr="00AE2C6C">
        <w:rPr>
          <w:noProof/>
          <w:color w:val="000000" w:themeColor="text1"/>
          <w:lang w:val="en-US"/>
        </w:rPr>
        <w:tab/>
        <w:t xml:space="preserve">Dersch P, Isberg RR. A region of the </w:t>
      </w:r>
      <w:r w:rsidRPr="00AE2C6C">
        <w:rPr>
          <w:i/>
          <w:noProof/>
          <w:color w:val="000000" w:themeColor="text1"/>
          <w:lang w:val="en-US"/>
        </w:rPr>
        <w:t>Yersinia pseudotuberculosis</w:t>
      </w:r>
      <w:r w:rsidRPr="00AE2C6C">
        <w:rPr>
          <w:noProof/>
          <w:color w:val="000000" w:themeColor="text1"/>
          <w:lang w:val="en-US"/>
        </w:rPr>
        <w:t xml:space="preserve"> invasin protein enhances integrin-mediated uptake into mammalian cells and promotes self-association. EMBO J. 1999;18(5):1199-213. Epub 1999/03/04. doi: 10.1093/emboj/18.5.1199. PubMed PMID: 10064587; PubMed Central PMCID: PMC1171211.</w:t>
      </w:r>
      <w:bookmarkEnd w:id="7"/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6</w:t>
      </w:r>
      <w:r w:rsidRPr="00AE2C6C">
        <w:rPr>
          <w:noProof/>
          <w:color w:val="000000" w:themeColor="text1"/>
          <w:lang w:val="en-US"/>
        </w:rPr>
        <w:t>.</w:t>
      </w:r>
      <w:r w:rsidRPr="00AE2C6C">
        <w:rPr>
          <w:noProof/>
          <w:color w:val="000000" w:themeColor="text1"/>
          <w:lang w:val="en-US"/>
        </w:rPr>
        <w:tab/>
        <w:t xml:space="preserve">Heroven A, Bohme K, Rohde M, Dersch P. A Csr-type regulatory system, including small non-coding RNAs, regulates the global virulence regulator RovA of </w:t>
      </w:r>
      <w:r w:rsidRPr="00AE2C6C">
        <w:rPr>
          <w:i/>
          <w:noProof/>
          <w:color w:val="000000" w:themeColor="text1"/>
          <w:lang w:val="en-US"/>
        </w:rPr>
        <w:t>Yersinia pseudotuberculosis</w:t>
      </w:r>
      <w:r w:rsidRPr="00AE2C6C">
        <w:rPr>
          <w:noProof/>
          <w:color w:val="000000" w:themeColor="text1"/>
          <w:lang w:val="en-US"/>
        </w:rPr>
        <w:t xml:space="preserve"> through RovM. Mol Microbiol. 2008;68(5):1179-95. Epub 2008/04/24. doi: MMI6218 [pii] 10.1111/j.1365-2958.2008.06218.x. PubMed PMID: 18430141.</w:t>
      </w:r>
      <w:bookmarkEnd w:id="2"/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</w:rPr>
        <w:t>7</w:t>
      </w:r>
      <w:r w:rsidRPr="00AE2C6C">
        <w:rPr>
          <w:noProof/>
          <w:color w:val="000000" w:themeColor="text1"/>
        </w:rPr>
        <w:t>.</w:t>
      </w:r>
      <w:r w:rsidRPr="00AE2C6C">
        <w:rPr>
          <w:noProof/>
          <w:color w:val="000000" w:themeColor="text1"/>
        </w:rPr>
        <w:tab/>
        <w:t xml:space="preserve">Böhme K, Steinmann R, Kortmann J, Seekircher S, Heroven AK, Berger E, et al. </w:t>
      </w:r>
      <w:r w:rsidRPr="00AE2C6C">
        <w:rPr>
          <w:noProof/>
          <w:color w:val="000000" w:themeColor="text1"/>
          <w:lang w:val="en-US"/>
        </w:rPr>
        <w:t xml:space="preserve">Concerted actions of a thermo-labile regulator and a unique intergenic RNA thermosensor control </w:t>
      </w:r>
      <w:r w:rsidRPr="00AE2C6C">
        <w:rPr>
          <w:i/>
          <w:noProof/>
          <w:color w:val="000000" w:themeColor="text1"/>
          <w:lang w:val="en-US"/>
        </w:rPr>
        <w:t>Yersinia</w:t>
      </w:r>
      <w:r w:rsidRPr="00AE2C6C">
        <w:rPr>
          <w:noProof/>
          <w:color w:val="000000" w:themeColor="text1"/>
          <w:lang w:val="en-US"/>
        </w:rPr>
        <w:t xml:space="preserve"> virulence. PLoS Pathog. 2012;8(2):e1002518. Epub </w:t>
      </w:r>
      <w:r w:rsidRPr="00AE2C6C">
        <w:rPr>
          <w:noProof/>
          <w:color w:val="000000" w:themeColor="text1"/>
          <w:lang w:val="en-US"/>
        </w:rPr>
        <w:lastRenderedPageBreak/>
        <w:t>2012/02/24. doi: 10.1371/journal.ppat.1002518. PubMed PMID: 22359501; PubMed Central PMCID: PMC3280987.</w:t>
      </w:r>
      <w:bookmarkEnd w:id="1"/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8" w:name="_ENREF_29"/>
      <w:bookmarkStart w:id="9" w:name="_ENREF_74"/>
      <w:bookmarkEnd w:id="0"/>
      <w:r>
        <w:rPr>
          <w:noProof/>
          <w:color w:val="000000" w:themeColor="text1"/>
          <w:lang w:val="en-US"/>
        </w:rPr>
        <w:t>8</w:t>
      </w:r>
      <w:r w:rsidRPr="00AE2C6C">
        <w:rPr>
          <w:noProof/>
          <w:color w:val="000000" w:themeColor="text1"/>
          <w:lang w:val="en-US"/>
        </w:rPr>
        <w:t>.</w:t>
      </w:r>
      <w:r w:rsidRPr="00AE2C6C">
        <w:rPr>
          <w:noProof/>
          <w:color w:val="000000" w:themeColor="text1"/>
          <w:lang w:val="en-US"/>
        </w:rPr>
        <w:tab/>
        <w:t>Chang AC, Cohen SN. Construction and characterization of amplifiable multicopy DNA cloning vehicles derived from the P15A cryptic miniplasmid. J Bacteriol. 1978;134(3):1141-56.</w:t>
      </w:r>
      <w:bookmarkEnd w:id="9"/>
    </w:p>
    <w:p w:rsidR="00E132F3" w:rsidRPr="00AE2C6C" w:rsidRDefault="00BB49B8" w:rsidP="00E132F3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9</w:t>
      </w:r>
      <w:r w:rsidR="00E132F3" w:rsidRPr="00AE2C6C">
        <w:rPr>
          <w:noProof/>
          <w:color w:val="000000" w:themeColor="text1"/>
          <w:lang w:val="en-US"/>
        </w:rPr>
        <w:t>.</w:t>
      </w:r>
      <w:r w:rsidR="00E132F3" w:rsidRPr="00AE2C6C">
        <w:rPr>
          <w:noProof/>
          <w:color w:val="000000" w:themeColor="text1"/>
          <w:lang w:val="en-US"/>
        </w:rPr>
        <w:tab/>
        <w:t xml:space="preserve">Bücker R, Heroven AK, Becker J, Dersch P, Wittmann C. The pyruvate-tricarboxylic acid cycle node: a focal point of virulence control in the enteric pathogen </w:t>
      </w:r>
      <w:r w:rsidR="00E132F3" w:rsidRPr="00AE2C6C">
        <w:rPr>
          <w:i/>
          <w:noProof/>
          <w:color w:val="000000" w:themeColor="text1"/>
          <w:lang w:val="en-US"/>
        </w:rPr>
        <w:t>Yersinia pseudotuberculosis</w:t>
      </w:r>
      <w:r w:rsidR="00E132F3" w:rsidRPr="00AE2C6C">
        <w:rPr>
          <w:noProof/>
          <w:color w:val="000000" w:themeColor="text1"/>
          <w:lang w:val="en-US"/>
        </w:rPr>
        <w:t>. J Biol Chem. 2014;289(43):30114-32. doi: 10.1074/jbc.M114.581348. PubMed PMID: 25164818; PubMed Central PMCID: PMC4208018.</w:t>
      </w:r>
      <w:bookmarkEnd w:id="8"/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10" w:name="_ENREF_65"/>
      <w:r>
        <w:rPr>
          <w:noProof/>
          <w:color w:val="000000" w:themeColor="text1"/>
          <w:lang w:val="en-US"/>
        </w:rPr>
        <w:t>10</w:t>
      </w:r>
      <w:r w:rsidRPr="00AE2C6C">
        <w:rPr>
          <w:noProof/>
          <w:color w:val="000000" w:themeColor="text1"/>
          <w:lang w:val="en-US"/>
        </w:rPr>
        <w:t>.</w:t>
      </w:r>
      <w:r w:rsidRPr="00AE2C6C">
        <w:rPr>
          <w:noProof/>
          <w:color w:val="000000" w:themeColor="text1"/>
          <w:lang w:val="en-US"/>
        </w:rPr>
        <w:tab/>
        <w:t>Waldminghaus T, Fippinger A, Alfsmann J, Narberhaus F. RNA thermometers are common in alpha- and gamma-proteobacteria. Biol Chem. 2005;386(12):1279-86. Epub 2005/12/13. doi: 10.1515/BC.2005.145. PubMed PMID: 16336122.</w:t>
      </w:r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11" w:name="_ENREF_76"/>
      <w:r>
        <w:rPr>
          <w:noProof/>
          <w:color w:val="000000" w:themeColor="text1"/>
          <w:lang w:val="en-US"/>
        </w:rPr>
        <w:t>11</w:t>
      </w:r>
      <w:r w:rsidRPr="00AE2C6C">
        <w:rPr>
          <w:noProof/>
          <w:color w:val="000000" w:themeColor="text1"/>
          <w:lang w:val="en-US"/>
        </w:rPr>
        <w:t>.</w:t>
      </w:r>
      <w:r w:rsidRPr="00AE2C6C">
        <w:rPr>
          <w:noProof/>
          <w:color w:val="000000" w:themeColor="text1"/>
          <w:lang w:val="en-US"/>
        </w:rPr>
        <w:tab/>
        <w:t>Guzman LM, Belin D, Carson MJ, Beckwith J. Tight regulation, modulation, and high-level expression by vectors containing the arabinose P</w:t>
      </w:r>
      <w:r w:rsidRPr="00AE2C6C">
        <w:rPr>
          <w:i/>
          <w:noProof/>
          <w:color w:val="000000" w:themeColor="text1"/>
          <w:vertAlign w:val="subscript"/>
          <w:lang w:val="en-US"/>
        </w:rPr>
        <w:t>BAD</w:t>
      </w:r>
      <w:r w:rsidRPr="00AE2C6C">
        <w:rPr>
          <w:noProof/>
          <w:color w:val="000000" w:themeColor="text1"/>
          <w:lang w:val="en-US"/>
        </w:rPr>
        <w:t xml:space="preserve"> promoter. J Bacteriol. 1995;177(14):4121-30.</w:t>
      </w:r>
      <w:bookmarkEnd w:id="11"/>
    </w:p>
    <w:p w:rsidR="00E132F3" w:rsidRPr="00AE2C6C" w:rsidRDefault="00BB49B8" w:rsidP="00E132F3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12</w:t>
      </w:r>
      <w:r w:rsidR="00E132F3" w:rsidRPr="00AE2C6C">
        <w:rPr>
          <w:noProof/>
          <w:color w:val="000000" w:themeColor="text1"/>
          <w:lang w:val="en-US"/>
        </w:rPr>
        <w:t>.</w:t>
      </w:r>
      <w:r w:rsidR="00E132F3" w:rsidRPr="00AE2C6C">
        <w:rPr>
          <w:noProof/>
          <w:color w:val="000000" w:themeColor="text1"/>
          <w:lang w:val="en-US"/>
        </w:rPr>
        <w:tab/>
        <w:t xml:space="preserve">Milton DL, O'Toole R, Horstedt P, Wolf-Watz H. Flagellin A is essential for the virulence of </w:t>
      </w:r>
      <w:r w:rsidR="00E132F3" w:rsidRPr="00AE2C6C">
        <w:rPr>
          <w:i/>
          <w:noProof/>
          <w:color w:val="000000" w:themeColor="text1"/>
          <w:lang w:val="en-US"/>
        </w:rPr>
        <w:t>Vibrio anguillarum</w:t>
      </w:r>
      <w:r w:rsidR="00E132F3" w:rsidRPr="00AE2C6C">
        <w:rPr>
          <w:noProof/>
          <w:color w:val="000000" w:themeColor="text1"/>
          <w:lang w:val="en-US"/>
        </w:rPr>
        <w:t>. J Bacteriol. 1996;178(5):1310-9.</w:t>
      </w:r>
      <w:bookmarkEnd w:id="10"/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12" w:name="_ENREF_75"/>
      <w:bookmarkStart w:id="13" w:name="_ENREF_77"/>
      <w:r>
        <w:rPr>
          <w:noProof/>
          <w:color w:val="000000" w:themeColor="text1"/>
          <w:lang w:val="en-US"/>
        </w:rPr>
        <w:t>13</w:t>
      </w:r>
      <w:r w:rsidRPr="00AE2C6C">
        <w:rPr>
          <w:noProof/>
          <w:color w:val="000000" w:themeColor="text1"/>
          <w:lang w:val="en-US"/>
        </w:rPr>
        <w:t>.</w:t>
      </w:r>
      <w:r w:rsidRPr="00AE2C6C">
        <w:rPr>
          <w:noProof/>
          <w:color w:val="000000" w:themeColor="text1"/>
          <w:lang w:val="en-US"/>
        </w:rPr>
        <w:tab/>
        <w:t xml:space="preserve">Strauch E, Voigt I, Broll H, Appel B. Use of a plasmid of a </w:t>
      </w:r>
      <w:r w:rsidRPr="00AE2C6C">
        <w:rPr>
          <w:i/>
          <w:noProof/>
          <w:color w:val="000000" w:themeColor="text1"/>
          <w:lang w:val="en-US"/>
        </w:rPr>
        <w:t>Yersinia enterocolitica</w:t>
      </w:r>
      <w:r w:rsidRPr="00AE2C6C">
        <w:rPr>
          <w:noProof/>
          <w:color w:val="000000" w:themeColor="text1"/>
          <w:lang w:val="en-US"/>
        </w:rPr>
        <w:t xml:space="preserve"> biogroup 1A strain for the construction of cloning vectors. J Biotechnol. 2000;79(1):63-72.</w:t>
      </w:r>
      <w:bookmarkEnd w:id="13"/>
    </w:p>
    <w:p w:rsidR="00BB49B8" w:rsidRPr="00AE2C6C" w:rsidRDefault="00BB49B8" w:rsidP="00BB49B8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</w:rPr>
        <w:t>14</w:t>
      </w:r>
      <w:r w:rsidRPr="00BB49B8">
        <w:rPr>
          <w:noProof/>
          <w:color w:val="000000" w:themeColor="text1"/>
        </w:rPr>
        <w:t>.</w:t>
      </w:r>
      <w:r w:rsidRPr="00BB49B8">
        <w:rPr>
          <w:noProof/>
          <w:color w:val="000000" w:themeColor="text1"/>
        </w:rPr>
        <w:tab/>
        <w:t xml:space="preserve">Uliczka F, Pisano F, Kochut A, Opitz W, Herbst K, Stolz T, et al. </w:t>
      </w:r>
      <w:r w:rsidRPr="00AE2C6C">
        <w:rPr>
          <w:noProof/>
          <w:color w:val="000000" w:themeColor="text1"/>
          <w:lang w:val="en-US"/>
        </w:rPr>
        <w:t>Monitoring of gene expression in bacteria during infections using an adaptable set of bioluminescent, fluorescent and colorigenic fusion vectors. PLoS One. 2011;6(6):e20425. doi: 10.1371/journal.pone.0020425. PubMed PMID: 21673990; PubMed Central PMCID: PMC3108616.</w:t>
      </w:r>
    </w:p>
    <w:p w:rsidR="00E132F3" w:rsidRPr="00AE2C6C" w:rsidRDefault="00BB49B8" w:rsidP="00E132F3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14" w:name="_ENREF_78"/>
      <w:bookmarkEnd w:id="12"/>
      <w:r>
        <w:rPr>
          <w:noProof/>
          <w:color w:val="000000" w:themeColor="text1"/>
          <w:lang w:val="en-US"/>
        </w:rPr>
        <w:lastRenderedPageBreak/>
        <w:t>15</w:t>
      </w:r>
      <w:r w:rsidR="00E132F3" w:rsidRPr="00AE2C6C">
        <w:rPr>
          <w:noProof/>
          <w:color w:val="000000" w:themeColor="text1"/>
          <w:lang w:val="en-US"/>
        </w:rPr>
        <w:t>.</w:t>
      </w:r>
      <w:r w:rsidR="00E132F3" w:rsidRPr="00AE2C6C">
        <w:rPr>
          <w:noProof/>
          <w:color w:val="000000" w:themeColor="text1"/>
          <w:lang w:val="en-US"/>
        </w:rPr>
        <w:tab/>
        <w:t xml:space="preserve">Takeshita S, Sato M, Tabo M, Masahashi W, Hashimoto-Gothoh T. High-copy-number and low-copy-number plasmid vectors for </w:t>
      </w:r>
      <w:r w:rsidR="00E132F3" w:rsidRPr="00AE2C6C">
        <w:rPr>
          <w:i/>
          <w:noProof/>
          <w:color w:val="000000" w:themeColor="text1"/>
          <w:lang w:val="en-US"/>
        </w:rPr>
        <w:t>lacZ</w:t>
      </w:r>
      <w:r w:rsidR="00E132F3" w:rsidRPr="00AE2C6C">
        <w:rPr>
          <w:noProof/>
          <w:color w:val="000000" w:themeColor="text1"/>
          <w:lang w:val="en-US"/>
        </w:rPr>
        <w:t xml:space="preserve"> a-complementation and chloramphenicol- or kanamycin resistance selection. Gene. 1987;61:63-74.</w:t>
      </w:r>
      <w:bookmarkEnd w:id="14"/>
    </w:p>
    <w:p w:rsidR="00E132F3" w:rsidRPr="00AE2C6C" w:rsidRDefault="00BB49B8" w:rsidP="00E132F3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15" w:name="_ENREF_79"/>
      <w:r>
        <w:rPr>
          <w:noProof/>
          <w:color w:val="000000" w:themeColor="text1"/>
          <w:lang w:val="en-US"/>
        </w:rPr>
        <w:t>16</w:t>
      </w:r>
      <w:r w:rsidR="00E132F3" w:rsidRPr="00AE2C6C">
        <w:rPr>
          <w:noProof/>
          <w:color w:val="000000" w:themeColor="text1"/>
          <w:lang w:val="en-US"/>
        </w:rPr>
        <w:t>.</w:t>
      </w:r>
      <w:r w:rsidR="00E132F3" w:rsidRPr="00AE2C6C">
        <w:rPr>
          <w:noProof/>
          <w:color w:val="000000" w:themeColor="text1"/>
          <w:lang w:val="en-US"/>
        </w:rPr>
        <w:tab/>
        <w:t xml:space="preserve">Nuss AM, Schuster F, Kathrin Heroven A, Heine W, Pisano F, Dersch P. A direct link between the global regulator PhoP and the Csr regulon in </w:t>
      </w:r>
      <w:r w:rsidR="00E132F3" w:rsidRPr="00AE2C6C">
        <w:rPr>
          <w:i/>
          <w:noProof/>
          <w:color w:val="000000" w:themeColor="text1"/>
          <w:lang w:val="en-US"/>
        </w:rPr>
        <w:t xml:space="preserve">Y. pseudotuberculosis </w:t>
      </w:r>
      <w:r w:rsidR="00E132F3" w:rsidRPr="00AE2C6C">
        <w:rPr>
          <w:noProof/>
          <w:color w:val="000000" w:themeColor="text1"/>
          <w:lang w:val="en-US"/>
        </w:rPr>
        <w:t>through the small regulatory RNA CsrC. RNA Biol. 2014;11(5):580-93. PubMed PMID: 24786463.</w:t>
      </w:r>
      <w:bookmarkEnd w:id="15"/>
    </w:p>
    <w:p w:rsidR="00E132F3" w:rsidRPr="00AE2C6C" w:rsidRDefault="00BB49B8" w:rsidP="00E132F3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16" w:name="_ENREF_80"/>
      <w:r>
        <w:rPr>
          <w:noProof/>
          <w:color w:val="000000" w:themeColor="text1"/>
          <w:lang w:val="en-US"/>
        </w:rPr>
        <w:t>17</w:t>
      </w:r>
      <w:r w:rsidR="00E132F3" w:rsidRPr="00AE2C6C">
        <w:rPr>
          <w:noProof/>
          <w:color w:val="000000" w:themeColor="text1"/>
          <w:lang w:val="en-US"/>
        </w:rPr>
        <w:t>.</w:t>
      </w:r>
      <w:r w:rsidR="00E132F3" w:rsidRPr="00AE2C6C">
        <w:rPr>
          <w:noProof/>
          <w:color w:val="000000" w:themeColor="text1"/>
          <w:lang w:val="en-US"/>
        </w:rPr>
        <w:tab/>
        <w:t xml:space="preserve">Datsenko KA, Wanner BL. One-step inactivation of chromosomal genes in </w:t>
      </w:r>
      <w:r w:rsidR="00E132F3" w:rsidRPr="00AE2C6C">
        <w:rPr>
          <w:i/>
          <w:noProof/>
          <w:color w:val="000000" w:themeColor="text1"/>
          <w:lang w:val="en-US"/>
        </w:rPr>
        <w:t xml:space="preserve">Escherichia coli </w:t>
      </w:r>
      <w:r w:rsidR="00E132F3" w:rsidRPr="00AE2C6C">
        <w:rPr>
          <w:noProof/>
          <w:color w:val="000000" w:themeColor="text1"/>
          <w:lang w:val="en-US"/>
        </w:rPr>
        <w:t>K-12 using PCR products. Proc Natl Acad Sci U S A. 2000;97(12):6640-5. PubMed PMID: 10829079.</w:t>
      </w:r>
      <w:bookmarkEnd w:id="16"/>
    </w:p>
    <w:p w:rsidR="00E132F3" w:rsidRPr="00AE2C6C" w:rsidRDefault="00BB49B8" w:rsidP="00E132F3">
      <w:pPr>
        <w:pStyle w:val="EndNoteBibliography"/>
        <w:ind w:left="426" w:hanging="426"/>
        <w:rPr>
          <w:noProof/>
          <w:color w:val="000000" w:themeColor="text1"/>
          <w:lang w:val="en-US"/>
        </w:rPr>
      </w:pPr>
      <w:bookmarkStart w:id="17" w:name="_ENREF_81"/>
      <w:r>
        <w:rPr>
          <w:noProof/>
          <w:color w:val="000000" w:themeColor="text1"/>
          <w:lang w:val="en-US"/>
        </w:rPr>
        <w:t>18</w:t>
      </w:r>
      <w:bookmarkStart w:id="18" w:name="_GoBack"/>
      <w:bookmarkEnd w:id="18"/>
      <w:r w:rsidR="00E132F3" w:rsidRPr="00AE2C6C">
        <w:rPr>
          <w:noProof/>
          <w:color w:val="000000" w:themeColor="text1"/>
          <w:lang w:val="en-US"/>
        </w:rPr>
        <w:t>.</w:t>
      </w:r>
      <w:r w:rsidR="00E132F3" w:rsidRPr="00AE2C6C">
        <w:rPr>
          <w:noProof/>
          <w:color w:val="000000" w:themeColor="text1"/>
          <w:lang w:val="en-US"/>
        </w:rPr>
        <w:tab/>
        <w:t xml:space="preserve">Lutz R, Bujard H. Independent and tight regulation of transcriptional units in </w:t>
      </w:r>
      <w:r w:rsidR="00E132F3" w:rsidRPr="00AE2C6C">
        <w:rPr>
          <w:i/>
          <w:noProof/>
          <w:color w:val="000000" w:themeColor="text1"/>
          <w:lang w:val="en-US"/>
        </w:rPr>
        <w:t>Escherichia coli</w:t>
      </w:r>
      <w:r w:rsidR="00E132F3" w:rsidRPr="00AE2C6C">
        <w:rPr>
          <w:noProof/>
          <w:color w:val="000000" w:themeColor="text1"/>
          <w:lang w:val="en-US"/>
        </w:rPr>
        <w:t xml:space="preserve"> via the LacR/O, the TetR/O and AraC/I1-I2 regulatory elements. Nucleic Acids Res. 1997;25(6):1203-10. PubMed PMID: 9092630.</w:t>
      </w:r>
      <w:bookmarkEnd w:id="17"/>
    </w:p>
    <w:p w:rsidR="00E132F3" w:rsidRPr="00BC078B" w:rsidRDefault="00E132F3" w:rsidP="00E132F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2C6C">
        <w:rPr>
          <w:rFonts w:ascii="Arial" w:hAnsi="Arial" w:cs="Arial"/>
          <w:color w:val="000000" w:themeColor="text1"/>
        </w:rPr>
        <w:fldChar w:fldCharType="end"/>
      </w:r>
    </w:p>
    <w:p w:rsidR="00341B31" w:rsidRDefault="00BB49B8"/>
    <w:sectPr w:rsidR="00341B31" w:rsidSect="00F149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F3"/>
    <w:rsid w:val="000A68E5"/>
    <w:rsid w:val="0052175C"/>
    <w:rsid w:val="00BB49B8"/>
    <w:rsid w:val="00E132F3"/>
    <w:rsid w:val="00F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1573"/>
  <w15:chartTrackingRefBased/>
  <w15:docId w15:val="{3F8D2CFC-7A82-1A4A-A1B9-D9C5E574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2F3"/>
    <w:rPr>
      <w:rFonts w:ascii="Times" w:eastAsia="Times" w:hAnsi="Times" w:cs="Times New Roman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rsid w:val="00E132F3"/>
    <w:pPr>
      <w:spacing w:line="480" w:lineRule="auto"/>
      <w:jc w:val="both"/>
    </w:pPr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petra.dersch@uni-muenster.de</dc:creator>
  <cp:keywords/>
  <dc:description/>
  <cp:lastModifiedBy>petra.dersch@uni-muenster.de</cp:lastModifiedBy>
  <cp:revision>3</cp:revision>
  <dcterms:created xsi:type="dcterms:W3CDTF">2019-05-27T08:53:00Z</dcterms:created>
  <dcterms:modified xsi:type="dcterms:W3CDTF">2019-05-27T09:18:00Z</dcterms:modified>
</cp:coreProperties>
</file>