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8BE9" w14:textId="21C83046" w:rsidR="00466E06" w:rsidRDefault="004C1286" w:rsidP="00466E0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</w:t>
      </w:r>
      <w:bookmarkStart w:id="0" w:name="_GoBack"/>
      <w:bookmarkEnd w:id="0"/>
      <w:r w:rsidR="00466E06">
        <w:rPr>
          <w:rFonts w:ascii="Arial" w:hAnsi="Arial" w:cs="Arial"/>
          <w:b/>
        </w:rPr>
        <w:t xml:space="preserve"> INFORMATION</w:t>
      </w:r>
    </w:p>
    <w:p w14:paraId="02F571F7" w14:textId="15609F1B" w:rsidR="0004657D" w:rsidRPr="00492EE9" w:rsidRDefault="00466E06" w:rsidP="000610F7">
      <w:pPr>
        <w:spacing w:line="480" w:lineRule="auto"/>
        <w:rPr>
          <w:rFonts w:ascii="Arial" w:hAnsi="Arial" w:cs="Arial"/>
          <w:b/>
        </w:rPr>
      </w:pPr>
      <w:r w:rsidRPr="00492EE9">
        <w:rPr>
          <w:rFonts w:ascii="Arial" w:hAnsi="Arial" w:cs="Arial"/>
          <w:b/>
        </w:rPr>
        <w:t>SUPPLEMENTAL MATERIALS AND METHODS</w:t>
      </w:r>
    </w:p>
    <w:p w14:paraId="1D21B42D" w14:textId="11E8CECC" w:rsidR="00492EE9" w:rsidRDefault="00492EE9" w:rsidP="000610F7">
      <w:pPr>
        <w:spacing w:line="480" w:lineRule="auto"/>
        <w:rPr>
          <w:rFonts w:ascii="Arial" w:hAnsi="Arial" w:cs="Arial"/>
        </w:rPr>
      </w:pPr>
      <w:r w:rsidRPr="00492EE9">
        <w:rPr>
          <w:rFonts w:ascii="Arial" w:hAnsi="Arial" w:cs="Arial"/>
          <w:b/>
        </w:rPr>
        <w:t>DNA manipulations.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MlaA</w:t>
      </w:r>
      <w:proofErr w:type="spellEnd"/>
      <w:r>
        <w:rPr>
          <w:rFonts w:ascii="Arial" w:hAnsi="Arial" w:cs="Arial"/>
        </w:rPr>
        <w:t xml:space="preserve"> lacking the signal peptide was amplified from purified FA1090 genomic DNA using primers </w:t>
      </w:r>
      <w:proofErr w:type="spellStart"/>
      <w:r>
        <w:rPr>
          <w:rFonts w:ascii="Arial" w:hAnsi="Arial" w:cs="Arial"/>
        </w:rPr>
        <w:t>MlaA</w:t>
      </w:r>
      <w:proofErr w:type="spellEnd"/>
      <w:r>
        <w:rPr>
          <w:rFonts w:ascii="Arial" w:hAnsi="Arial" w:cs="Arial"/>
        </w:rPr>
        <w:t xml:space="preserve">-MBP-F, </w:t>
      </w:r>
      <w:r w:rsidRPr="00492EE9">
        <w:rPr>
          <w:rFonts w:ascii="Arial" w:hAnsi="Arial" w:cs="Arial"/>
        </w:rPr>
        <w:t>GATC</w:t>
      </w:r>
      <w:r w:rsidRPr="0051116C">
        <w:rPr>
          <w:rFonts w:ascii="Arial" w:hAnsi="Arial" w:cs="Arial"/>
          <w:u w:val="single"/>
        </w:rPr>
        <w:t>CCATGG</w:t>
      </w:r>
      <w:r w:rsidRPr="00492EE9">
        <w:rPr>
          <w:rFonts w:ascii="Arial" w:hAnsi="Arial" w:cs="Arial"/>
        </w:rPr>
        <w:t>AGGATCTGTACTTTCAGAGCGAAACCCGCCCCGCCGAC</w:t>
      </w:r>
      <w:r>
        <w:rPr>
          <w:rFonts w:ascii="Arial" w:hAnsi="Arial" w:cs="Arial"/>
        </w:rPr>
        <w:t xml:space="preserve">, </w:t>
      </w:r>
      <w:r w:rsidR="0051116C">
        <w:rPr>
          <w:rFonts w:ascii="Arial" w:hAnsi="Arial" w:cs="Arial"/>
        </w:rPr>
        <w:t xml:space="preserve">and </w:t>
      </w:r>
      <w:proofErr w:type="spellStart"/>
      <w:r w:rsidR="0051116C">
        <w:rPr>
          <w:rFonts w:ascii="Arial" w:hAnsi="Arial" w:cs="Arial"/>
        </w:rPr>
        <w:t>MlaA</w:t>
      </w:r>
      <w:proofErr w:type="spellEnd"/>
      <w:r w:rsidR="0051116C">
        <w:rPr>
          <w:rFonts w:ascii="Arial" w:hAnsi="Arial" w:cs="Arial"/>
        </w:rPr>
        <w:t xml:space="preserve">-MBP-R, </w:t>
      </w:r>
      <w:r w:rsidR="0051116C" w:rsidRPr="0051116C">
        <w:rPr>
          <w:rFonts w:ascii="Arial" w:hAnsi="Arial" w:cs="Arial"/>
        </w:rPr>
        <w:t>GATC</w:t>
      </w:r>
      <w:r w:rsidR="0051116C" w:rsidRPr="00274034">
        <w:rPr>
          <w:rFonts w:ascii="Arial" w:hAnsi="Arial" w:cs="Arial"/>
          <w:u w:val="single"/>
        </w:rPr>
        <w:t>AAGCTT</w:t>
      </w:r>
      <w:r w:rsidR="0051116C" w:rsidRPr="0051116C">
        <w:rPr>
          <w:rFonts w:ascii="Arial" w:hAnsi="Arial" w:cs="Arial"/>
        </w:rPr>
        <w:t>GCTTTAGTGGTGATGGTGATGATGGGGTTGTGTTCCAGGTTGCGTTTCGG</w:t>
      </w:r>
      <w:r w:rsidR="0051116C">
        <w:rPr>
          <w:rFonts w:ascii="Arial" w:hAnsi="Arial" w:cs="Arial"/>
        </w:rPr>
        <w:t xml:space="preserve">, </w:t>
      </w:r>
      <w:r w:rsidR="00274034">
        <w:rPr>
          <w:rFonts w:ascii="Arial" w:hAnsi="Arial" w:cs="Arial"/>
        </w:rPr>
        <w:t xml:space="preserve">digested with </w:t>
      </w:r>
      <w:proofErr w:type="spellStart"/>
      <w:r w:rsidR="00274034">
        <w:rPr>
          <w:rFonts w:ascii="Arial" w:hAnsi="Arial" w:cs="Arial"/>
        </w:rPr>
        <w:t>NcoI</w:t>
      </w:r>
      <w:proofErr w:type="spellEnd"/>
      <w:r w:rsidR="00274034">
        <w:rPr>
          <w:rFonts w:ascii="Arial" w:hAnsi="Arial" w:cs="Arial"/>
        </w:rPr>
        <w:t xml:space="preserve"> and </w:t>
      </w:r>
      <w:proofErr w:type="spellStart"/>
      <w:r w:rsidR="00274034">
        <w:rPr>
          <w:rFonts w:ascii="Arial" w:hAnsi="Arial" w:cs="Arial"/>
        </w:rPr>
        <w:t>HinDIII</w:t>
      </w:r>
      <w:proofErr w:type="spellEnd"/>
      <w:r w:rsidR="00274034">
        <w:rPr>
          <w:rFonts w:ascii="Arial" w:hAnsi="Arial" w:cs="Arial"/>
        </w:rPr>
        <w:t xml:space="preserve"> (</w:t>
      </w:r>
      <w:r w:rsidR="00A664B7">
        <w:rPr>
          <w:rFonts w:ascii="Arial" w:hAnsi="Arial" w:cs="Arial"/>
        </w:rPr>
        <w:t xml:space="preserve">New England Biolabs; </w:t>
      </w:r>
      <w:r w:rsidR="00274034">
        <w:rPr>
          <w:rFonts w:ascii="Arial" w:hAnsi="Arial" w:cs="Arial"/>
        </w:rPr>
        <w:t>recognition sites underlined), and cloned into similarly-digested pMBP-27</w:t>
      </w:r>
      <w:r w:rsidR="002447AC">
        <w:rPr>
          <w:rFonts w:ascii="Arial" w:hAnsi="Arial" w:cs="Arial"/>
        </w:rPr>
        <w:t>b</w:t>
      </w:r>
      <w:r w:rsidR="00274034">
        <w:rPr>
          <w:rFonts w:ascii="Arial" w:hAnsi="Arial" w:cs="Arial"/>
        </w:rPr>
        <w:t xml:space="preserve">. Cloning resulted in the maltose binding protein (MBP) fused to the N-terminus of </w:t>
      </w:r>
      <w:proofErr w:type="spellStart"/>
      <w:r w:rsidR="00274034">
        <w:rPr>
          <w:rFonts w:ascii="Arial" w:hAnsi="Arial" w:cs="Arial"/>
        </w:rPr>
        <w:t>MlaA</w:t>
      </w:r>
      <w:proofErr w:type="spellEnd"/>
      <w:r w:rsidR="00274034">
        <w:rPr>
          <w:rFonts w:ascii="Arial" w:hAnsi="Arial" w:cs="Arial"/>
        </w:rPr>
        <w:t xml:space="preserve"> with two</w:t>
      </w:r>
      <w:r w:rsidR="008130C1">
        <w:rPr>
          <w:rFonts w:ascii="Arial" w:hAnsi="Arial" w:cs="Arial"/>
        </w:rPr>
        <w:t xml:space="preserve"> intervening</w:t>
      </w:r>
      <w:r w:rsidR="00274034">
        <w:rPr>
          <w:rFonts w:ascii="Arial" w:hAnsi="Arial" w:cs="Arial"/>
        </w:rPr>
        <w:t xml:space="preserve"> TEV recognition. The </w:t>
      </w:r>
      <w:proofErr w:type="spellStart"/>
      <w:r w:rsidR="00274034">
        <w:rPr>
          <w:rFonts w:ascii="Arial" w:hAnsi="Arial" w:cs="Arial"/>
        </w:rPr>
        <w:t>MlaA</w:t>
      </w:r>
      <w:proofErr w:type="spellEnd"/>
      <w:r w:rsidR="00274034">
        <w:rPr>
          <w:rFonts w:ascii="Arial" w:hAnsi="Arial" w:cs="Arial"/>
        </w:rPr>
        <w:t xml:space="preserve"> C-terminus was also tagged with a 6 </w:t>
      </w:r>
      <w:r w:rsidR="00274034">
        <w:rPr>
          <w:rFonts w:ascii="Arial" w:hAnsi="Arial" w:cs="Arial"/>
        </w:rPr>
        <w:sym w:font="Symbol" w:char="F0B4"/>
      </w:r>
      <w:r w:rsidR="00274034">
        <w:rPr>
          <w:rFonts w:ascii="Arial" w:hAnsi="Arial" w:cs="Arial"/>
        </w:rPr>
        <w:t xml:space="preserve"> Histidine tag. The resulting construct</w:t>
      </w:r>
      <w:r w:rsidR="008130C1">
        <w:rPr>
          <w:rFonts w:ascii="Arial" w:hAnsi="Arial" w:cs="Arial"/>
        </w:rPr>
        <w:t xml:space="preserve"> (pMBP-27b-MlaA-His)</w:t>
      </w:r>
      <w:r w:rsidR="00274034">
        <w:rPr>
          <w:rFonts w:ascii="Arial" w:hAnsi="Arial" w:cs="Arial"/>
        </w:rPr>
        <w:t xml:space="preserve"> was transformed into ER2566 </w:t>
      </w:r>
      <w:r w:rsidR="00274034" w:rsidRPr="00274034">
        <w:rPr>
          <w:rFonts w:ascii="Arial" w:hAnsi="Arial" w:cs="Arial"/>
          <w:i/>
        </w:rPr>
        <w:t>E. coli</w:t>
      </w:r>
      <w:r w:rsidR="00274034">
        <w:rPr>
          <w:rFonts w:ascii="Arial" w:hAnsi="Arial" w:cs="Arial"/>
        </w:rPr>
        <w:t xml:space="preserve"> for protein production.</w:t>
      </w:r>
    </w:p>
    <w:p w14:paraId="3109D29B" w14:textId="25EC2BF8" w:rsidR="00274034" w:rsidRDefault="00274034" w:rsidP="000610F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Protein production and purification. </w:t>
      </w:r>
      <w:r w:rsidR="002447AC">
        <w:rPr>
          <w:rFonts w:ascii="Arial" w:hAnsi="Arial" w:cs="Arial"/>
        </w:rPr>
        <w:t xml:space="preserve">Overnight cultures of ER2566 </w:t>
      </w:r>
      <w:r w:rsidR="002447AC" w:rsidRPr="008130C1">
        <w:rPr>
          <w:rFonts w:ascii="Arial" w:hAnsi="Arial" w:cs="Arial"/>
          <w:i/>
        </w:rPr>
        <w:t>E. coli</w:t>
      </w:r>
      <w:r w:rsidR="002447AC">
        <w:rPr>
          <w:rFonts w:ascii="Arial" w:hAnsi="Arial" w:cs="Arial"/>
        </w:rPr>
        <w:t xml:space="preserve"> harboring pMBP-27b-MlaA-His were diluted 1:100 into 1.5L of Luria-Bertani liquid media (LB) supplemented with 50 µg/mL kanamycin and cultured at 37 ºC with shaking (220 rpm). Protein production was induced by the addition of 1 </w:t>
      </w:r>
      <w:proofErr w:type="spellStart"/>
      <w:r w:rsidR="002447AC">
        <w:rPr>
          <w:rFonts w:ascii="Arial" w:hAnsi="Arial" w:cs="Arial"/>
        </w:rPr>
        <w:t>mM</w:t>
      </w:r>
      <w:proofErr w:type="spellEnd"/>
      <w:r w:rsidR="002447AC">
        <w:rPr>
          <w:rFonts w:ascii="Arial" w:hAnsi="Arial" w:cs="Arial"/>
        </w:rPr>
        <w:t xml:space="preserve"> isopropyl </w:t>
      </w:r>
      <w:r w:rsidR="002447AC">
        <w:rPr>
          <w:rFonts w:ascii="Arial" w:hAnsi="Arial" w:cs="Arial"/>
        </w:rPr>
        <w:sym w:font="Symbol" w:char="F062"/>
      </w:r>
      <w:r w:rsidR="002447AC">
        <w:rPr>
          <w:rFonts w:ascii="Arial" w:hAnsi="Arial" w:cs="Arial"/>
        </w:rPr>
        <w:t>-D-1-thiogalactopyranoside (IPTG) when cultures reached an OD</w:t>
      </w:r>
      <w:r w:rsidR="002447AC" w:rsidRPr="002447AC">
        <w:rPr>
          <w:rFonts w:ascii="Arial" w:hAnsi="Arial" w:cs="Arial"/>
          <w:vertAlign w:val="subscript"/>
        </w:rPr>
        <w:t>600</w:t>
      </w:r>
      <w:r w:rsidR="002447AC">
        <w:rPr>
          <w:rFonts w:ascii="Arial" w:hAnsi="Arial" w:cs="Arial"/>
        </w:rPr>
        <w:t xml:space="preserve"> of approximately 0.5. Induction was performed for 3 h at 37 ºC with shaking. Bacteria were collected by low-speed centrifugation (6000 </w:t>
      </w:r>
      <w:r w:rsidR="002447AC">
        <w:rPr>
          <w:rFonts w:ascii="Arial" w:hAnsi="Arial" w:cs="Arial"/>
        </w:rPr>
        <w:sym w:font="Symbol" w:char="F0B4"/>
      </w:r>
      <w:r w:rsidR="002447AC">
        <w:rPr>
          <w:rFonts w:ascii="Arial" w:hAnsi="Arial" w:cs="Arial"/>
        </w:rPr>
        <w:t xml:space="preserve"> g for 10 min at 4 ºC). Pellets were subsequently suspended in lysis buffer (20 </w:t>
      </w:r>
      <w:proofErr w:type="spellStart"/>
      <w:r w:rsidR="002447AC">
        <w:rPr>
          <w:rFonts w:ascii="Arial" w:hAnsi="Arial" w:cs="Arial"/>
        </w:rPr>
        <w:t>mM</w:t>
      </w:r>
      <w:proofErr w:type="spellEnd"/>
      <w:r w:rsidR="002447AC">
        <w:rPr>
          <w:rFonts w:ascii="Arial" w:hAnsi="Arial" w:cs="Arial"/>
        </w:rPr>
        <w:t xml:space="preserve"> Tris, pH 7.4; 200 </w:t>
      </w:r>
      <w:proofErr w:type="spellStart"/>
      <w:r w:rsidR="002447AC">
        <w:rPr>
          <w:rFonts w:ascii="Arial" w:hAnsi="Arial" w:cs="Arial"/>
        </w:rPr>
        <w:t>mM</w:t>
      </w:r>
      <w:proofErr w:type="spellEnd"/>
      <w:r w:rsidR="002447AC">
        <w:rPr>
          <w:rFonts w:ascii="Arial" w:hAnsi="Arial" w:cs="Arial"/>
        </w:rPr>
        <w:t xml:space="preserve"> </w:t>
      </w:r>
      <w:proofErr w:type="spellStart"/>
      <w:r w:rsidR="002447AC">
        <w:rPr>
          <w:rFonts w:ascii="Arial" w:hAnsi="Arial" w:cs="Arial"/>
        </w:rPr>
        <w:t>NaCl</w:t>
      </w:r>
      <w:proofErr w:type="spellEnd"/>
      <w:r w:rsidR="002447AC">
        <w:rPr>
          <w:rFonts w:ascii="Arial" w:hAnsi="Arial" w:cs="Arial"/>
        </w:rPr>
        <w:t xml:space="preserve">; 1 </w:t>
      </w:r>
      <w:proofErr w:type="spellStart"/>
      <w:r w:rsidR="002447AC">
        <w:rPr>
          <w:rFonts w:ascii="Arial" w:hAnsi="Arial" w:cs="Arial"/>
        </w:rPr>
        <w:t>mM</w:t>
      </w:r>
      <w:proofErr w:type="spellEnd"/>
      <w:r w:rsidR="002447AC">
        <w:rPr>
          <w:rFonts w:ascii="Arial" w:hAnsi="Arial" w:cs="Arial"/>
        </w:rPr>
        <w:t xml:space="preserve"> </w:t>
      </w:r>
      <w:r w:rsidR="004A6CEB">
        <w:rPr>
          <w:rFonts w:ascii="Arial" w:hAnsi="Arial" w:cs="Arial"/>
        </w:rPr>
        <w:t>ethylenediaminetetraacetic acid [</w:t>
      </w:r>
      <w:r w:rsidR="002447AC">
        <w:rPr>
          <w:rFonts w:ascii="Arial" w:hAnsi="Arial" w:cs="Arial"/>
        </w:rPr>
        <w:t>EDTA</w:t>
      </w:r>
      <w:r w:rsidR="004A6CEB">
        <w:rPr>
          <w:rFonts w:ascii="Arial" w:hAnsi="Arial" w:cs="Arial"/>
        </w:rPr>
        <w:t>]</w:t>
      </w:r>
      <w:r w:rsidR="002447AC">
        <w:rPr>
          <w:rFonts w:ascii="Arial" w:hAnsi="Arial" w:cs="Arial"/>
        </w:rPr>
        <w:t>; and a Pierce protease inhibitor tablet [</w:t>
      </w:r>
      <w:proofErr w:type="spellStart"/>
      <w:r w:rsidR="002447AC">
        <w:rPr>
          <w:rFonts w:ascii="Arial" w:hAnsi="Arial" w:cs="Arial"/>
        </w:rPr>
        <w:t>ThermoFisher</w:t>
      </w:r>
      <w:proofErr w:type="spellEnd"/>
      <w:r w:rsidR="002447AC">
        <w:rPr>
          <w:rFonts w:ascii="Arial" w:hAnsi="Arial" w:cs="Arial"/>
        </w:rPr>
        <w:t xml:space="preserve"> Scientific]), lysed by 5 passages through a French pressure cell at </w:t>
      </w:r>
      <w:r w:rsidR="002447AC">
        <w:rPr>
          <w:rFonts w:ascii="Arial" w:hAnsi="Arial" w:cs="Arial"/>
        </w:rPr>
        <w:lastRenderedPageBreak/>
        <w:t>~1</w:t>
      </w:r>
      <w:r w:rsidR="00D34F00">
        <w:rPr>
          <w:rFonts w:ascii="Arial" w:hAnsi="Arial" w:cs="Arial"/>
        </w:rPr>
        <w:t>2,0</w:t>
      </w:r>
      <w:r w:rsidR="002447AC">
        <w:rPr>
          <w:rFonts w:ascii="Arial" w:hAnsi="Arial" w:cs="Arial"/>
        </w:rPr>
        <w:t xml:space="preserve">00 psi, and centrifuged to remove intact bacteria and cell debris. Supernatants were subjected to affinity chromatography with a </w:t>
      </w:r>
      <w:proofErr w:type="spellStart"/>
      <w:r w:rsidR="002447AC">
        <w:rPr>
          <w:rFonts w:ascii="Arial" w:hAnsi="Arial" w:cs="Arial"/>
        </w:rPr>
        <w:t>MBPTrap</w:t>
      </w:r>
      <w:proofErr w:type="spellEnd"/>
      <w:r w:rsidR="002447AC">
        <w:rPr>
          <w:rFonts w:ascii="Arial" w:hAnsi="Arial" w:cs="Arial"/>
        </w:rPr>
        <w:t xml:space="preserve"> column (GE Healthcare Life Sciences)</w:t>
      </w:r>
      <w:r w:rsidR="008F5709">
        <w:rPr>
          <w:rFonts w:ascii="Arial" w:hAnsi="Arial" w:cs="Arial"/>
        </w:rPr>
        <w:t xml:space="preserve"> using a Bio-Rad NGC Scout system,</w:t>
      </w:r>
      <w:r w:rsidR="004A6CEB">
        <w:rPr>
          <w:rFonts w:ascii="Arial" w:hAnsi="Arial" w:cs="Arial"/>
        </w:rPr>
        <w:t xml:space="preserve"> and protein was eluted with elution buffer (20 </w:t>
      </w:r>
      <w:proofErr w:type="spellStart"/>
      <w:r w:rsidR="004A6CEB">
        <w:rPr>
          <w:rFonts w:ascii="Arial" w:hAnsi="Arial" w:cs="Arial"/>
        </w:rPr>
        <w:t>mM</w:t>
      </w:r>
      <w:proofErr w:type="spellEnd"/>
      <w:r w:rsidR="004A6CEB">
        <w:rPr>
          <w:rFonts w:ascii="Arial" w:hAnsi="Arial" w:cs="Arial"/>
        </w:rPr>
        <w:t xml:space="preserve"> Tris, pH 7.4; 200 </w:t>
      </w:r>
      <w:proofErr w:type="spellStart"/>
      <w:r w:rsidR="004A6CEB">
        <w:rPr>
          <w:rFonts w:ascii="Arial" w:hAnsi="Arial" w:cs="Arial"/>
        </w:rPr>
        <w:t>mM</w:t>
      </w:r>
      <w:proofErr w:type="spellEnd"/>
      <w:r w:rsidR="004A6CEB">
        <w:rPr>
          <w:rFonts w:ascii="Arial" w:hAnsi="Arial" w:cs="Arial"/>
        </w:rPr>
        <w:t xml:space="preserve"> </w:t>
      </w:r>
      <w:proofErr w:type="spellStart"/>
      <w:r w:rsidR="004A6CEB">
        <w:rPr>
          <w:rFonts w:ascii="Arial" w:hAnsi="Arial" w:cs="Arial"/>
        </w:rPr>
        <w:t>NaCl</w:t>
      </w:r>
      <w:proofErr w:type="spellEnd"/>
      <w:r w:rsidR="004A6CEB">
        <w:rPr>
          <w:rFonts w:ascii="Arial" w:hAnsi="Arial" w:cs="Arial"/>
        </w:rPr>
        <w:t xml:space="preserve">; 1 </w:t>
      </w:r>
      <w:proofErr w:type="spellStart"/>
      <w:r w:rsidR="004A6CEB">
        <w:rPr>
          <w:rFonts w:ascii="Arial" w:hAnsi="Arial" w:cs="Arial"/>
        </w:rPr>
        <w:t>mM</w:t>
      </w:r>
      <w:proofErr w:type="spellEnd"/>
      <w:r w:rsidR="004A6CEB">
        <w:rPr>
          <w:rFonts w:ascii="Arial" w:hAnsi="Arial" w:cs="Arial"/>
        </w:rPr>
        <w:t xml:space="preserve"> EDTA; 10 </w:t>
      </w:r>
      <w:proofErr w:type="spellStart"/>
      <w:r w:rsidR="004A6CEB">
        <w:rPr>
          <w:rFonts w:ascii="Arial" w:hAnsi="Arial" w:cs="Arial"/>
        </w:rPr>
        <w:t>mM</w:t>
      </w:r>
      <w:proofErr w:type="spellEnd"/>
      <w:r w:rsidR="004A6CEB">
        <w:rPr>
          <w:rFonts w:ascii="Arial" w:hAnsi="Arial" w:cs="Arial"/>
        </w:rPr>
        <w:t xml:space="preserve"> maltose). The MBP tag was cleaved by overnight incubation with </w:t>
      </w:r>
      <w:r w:rsidR="008F5709">
        <w:rPr>
          <w:rFonts w:ascii="Arial" w:hAnsi="Arial" w:cs="Arial"/>
        </w:rPr>
        <w:t xml:space="preserve">a 1:40 </w:t>
      </w:r>
      <w:proofErr w:type="spellStart"/>
      <w:proofErr w:type="gramStart"/>
      <w:r w:rsidR="008F5709">
        <w:rPr>
          <w:rFonts w:ascii="Arial" w:hAnsi="Arial" w:cs="Arial"/>
        </w:rPr>
        <w:t>TEV:protein</w:t>
      </w:r>
      <w:proofErr w:type="spellEnd"/>
      <w:proofErr w:type="gramEnd"/>
      <w:r w:rsidR="008F5709">
        <w:rPr>
          <w:rFonts w:ascii="Arial" w:hAnsi="Arial" w:cs="Arial"/>
        </w:rPr>
        <w:t xml:space="preserve"> (v/v) ratio during dialysis into 50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Tris, pH 8 and 1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dithiothreitol (DTT). The protein solution was subsequently applied to a Bio-Rad Bio-Scale Mini </w:t>
      </w:r>
      <w:proofErr w:type="spellStart"/>
      <w:r w:rsidR="008F5709">
        <w:rPr>
          <w:rFonts w:ascii="Arial" w:hAnsi="Arial" w:cs="Arial"/>
        </w:rPr>
        <w:t>Nuvia</w:t>
      </w:r>
      <w:proofErr w:type="spellEnd"/>
      <w:r w:rsidR="008F5709">
        <w:rPr>
          <w:rFonts w:ascii="Arial" w:hAnsi="Arial" w:cs="Arial"/>
        </w:rPr>
        <w:t xml:space="preserve"> IMAC cartridge (Bio-Rad) using the Bio-Rad NGC Scout system and eluted with nickel elution buffer (20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Tris, pH 8; 500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</w:t>
      </w:r>
      <w:proofErr w:type="spellStart"/>
      <w:r w:rsidR="008F5709">
        <w:rPr>
          <w:rFonts w:ascii="Arial" w:hAnsi="Arial" w:cs="Arial"/>
        </w:rPr>
        <w:t>NaCl</w:t>
      </w:r>
      <w:proofErr w:type="spellEnd"/>
      <w:r w:rsidR="008F5709">
        <w:rPr>
          <w:rFonts w:ascii="Arial" w:hAnsi="Arial" w:cs="Arial"/>
        </w:rPr>
        <w:t xml:space="preserve">; 250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imidazole). Elutions were pooled, concentrated, and applied to a </w:t>
      </w:r>
      <w:proofErr w:type="spellStart"/>
      <w:r w:rsidR="008F5709">
        <w:rPr>
          <w:rFonts w:ascii="Arial" w:hAnsi="Arial" w:cs="Arial"/>
        </w:rPr>
        <w:t>HiLoad</w:t>
      </w:r>
      <w:proofErr w:type="spellEnd"/>
      <w:r w:rsidR="008F5709">
        <w:rPr>
          <w:rFonts w:ascii="Arial" w:hAnsi="Arial" w:cs="Arial"/>
        </w:rPr>
        <w:t xml:space="preserve"> </w:t>
      </w:r>
      <w:proofErr w:type="spellStart"/>
      <w:r w:rsidR="008F5709">
        <w:rPr>
          <w:rFonts w:ascii="Arial" w:hAnsi="Arial" w:cs="Arial"/>
        </w:rPr>
        <w:t>Superdex</w:t>
      </w:r>
      <w:proofErr w:type="spellEnd"/>
      <w:r w:rsidR="008F5709">
        <w:rPr>
          <w:rFonts w:ascii="Arial" w:hAnsi="Arial" w:cs="Arial"/>
        </w:rPr>
        <w:t xml:space="preserve"> 75 column (GE Healthcare Life Sciences) for size exclusion chromatography on the Bio-Rad NGC Scout system in column buffer (20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Tris, pH 8; 500 </w:t>
      </w:r>
      <w:proofErr w:type="spellStart"/>
      <w:r w:rsidR="008F5709">
        <w:rPr>
          <w:rFonts w:ascii="Arial" w:hAnsi="Arial" w:cs="Arial"/>
        </w:rPr>
        <w:t>mM</w:t>
      </w:r>
      <w:proofErr w:type="spellEnd"/>
      <w:r w:rsidR="008F5709">
        <w:rPr>
          <w:rFonts w:ascii="Arial" w:hAnsi="Arial" w:cs="Arial"/>
        </w:rPr>
        <w:t xml:space="preserve"> </w:t>
      </w:r>
      <w:proofErr w:type="spellStart"/>
      <w:r w:rsidR="008F5709">
        <w:rPr>
          <w:rFonts w:ascii="Arial" w:hAnsi="Arial" w:cs="Arial"/>
        </w:rPr>
        <w:t>NaCl</w:t>
      </w:r>
      <w:proofErr w:type="spellEnd"/>
      <w:r w:rsidR="008F5709">
        <w:rPr>
          <w:rFonts w:ascii="Arial" w:hAnsi="Arial" w:cs="Arial"/>
        </w:rPr>
        <w:t xml:space="preserve">; 10% glycerol [v/v]). Fractions were analyzed for protein content throughout the purification process by sodium dodecyl sulfate-polyacrylamide gel electrophoresis and visualization by either colloidal coomassie G-250 staining or with the </w:t>
      </w:r>
      <w:proofErr w:type="spellStart"/>
      <w:r w:rsidR="008F5709">
        <w:rPr>
          <w:rFonts w:ascii="Arial" w:hAnsi="Arial" w:cs="Arial"/>
        </w:rPr>
        <w:t>SilverQuest</w:t>
      </w:r>
      <w:proofErr w:type="spellEnd"/>
      <w:r w:rsidR="008F5709">
        <w:rPr>
          <w:rFonts w:ascii="Arial" w:hAnsi="Arial" w:cs="Arial"/>
        </w:rPr>
        <w:t xml:space="preserve"> Silver Staining Kit (</w:t>
      </w:r>
      <w:proofErr w:type="spellStart"/>
      <w:r w:rsidR="008F5709">
        <w:rPr>
          <w:rFonts w:ascii="Arial" w:hAnsi="Arial" w:cs="Arial"/>
        </w:rPr>
        <w:t>ThermoFisher</w:t>
      </w:r>
      <w:proofErr w:type="spellEnd"/>
      <w:r w:rsidR="008F5709">
        <w:rPr>
          <w:rFonts w:ascii="Arial" w:hAnsi="Arial" w:cs="Arial"/>
        </w:rPr>
        <w:t xml:space="preserve"> Scientific).</w:t>
      </w:r>
    </w:p>
    <w:p w14:paraId="0A0A8501" w14:textId="26B59815" w:rsidR="000E31B4" w:rsidRDefault="000E31B4" w:rsidP="000610F7">
      <w:pPr>
        <w:spacing w:line="480" w:lineRule="auto"/>
        <w:rPr>
          <w:rFonts w:ascii="Arial" w:hAnsi="Arial" w:cs="Arial"/>
        </w:rPr>
      </w:pPr>
      <w:r w:rsidRPr="00466E06">
        <w:rPr>
          <w:rFonts w:ascii="Arial" w:hAnsi="Arial" w:cs="Arial"/>
          <w:b/>
        </w:rPr>
        <w:t xml:space="preserve">Agar dilution assessment of antibiotic minimal inhibitory concentrations. </w:t>
      </w:r>
      <w:r>
        <w:rPr>
          <w:rFonts w:ascii="Arial" w:hAnsi="Arial" w:cs="Arial"/>
        </w:rPr>
        <w:t xml:space="preserve">Non-piliated colonies cultured as in the main text were suspended in GCBL to a density of 1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 w:rsidRPr="000E31B4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CFU/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One hundred microliters of this suspension, corresponding to approximately 1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 w:rsidRPr="000E31B4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CFU, were spread onto GCB plates supplemented with 2-fold dilutions of antibiotics indicated in the text and 0.5 </w:t>
      </w:r>
      <w:proofErr w:type="spellStart"/>
      <w:r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 xml:space="preserve"> IPTG to in</w:t>
      </w:r>
      <w:r w:rsidR="00E44A0C">
        <w:rPr>
          <w:rFonts w:ascii="Arial" w:hAnsi="Arial" w:cs="Arial"/>
        </w:rPr>
        <w:t xml:space="preserve">duce expression of </w:t>
      </w:r>
      <w:proofErr w:type="spellStart"/>
      <w:r w:rsidR="00E44A0C">
        <w:rPr>
          <w:rFonts w:ascii="Arial" w:hAnsi="Arial" w:cs="Arial"/>
        </w:rPr>
        <w:t>MlaA</w:t>
      </w:r>
      <w:proofErr w:type="spellEnd"/>
      <w:r w:rsidR="00E44A0C">
        <w:rPr>
          <w:rFonts w:ascii="Arial" w:hAnsi="Arial" w:cs="Arial"/>
        </w:rPr>
        <w:t xml:space="preserve"> or </w:t>
      </w:r>
      <w:proofErr w:type="spellStart"/>
      <w:r w:rsidR="00E44A0C">
        <w:rPr>
          <w:rFonts w:ascii="Arial" w:hAnsi="Arial" w:cs="Arial"/>
        </w:rPr>
        <w:t>PldA</w:t>
      </w:r>
      <w:proofErr w:type="spellEnd"/>
      <w:r w:rsidR="00E44A0C">
        <w:rPr>
          <w:rFonts w:ascii="Arial" w:hAnsi="Arial" w:cs="Arial"/>
        </w:rPr>
        <w:t>. MICs were assessed after ~22 h of incubation at 37 ºC in a 5% CO</w:t>
      </w:r>
      <w:r w:rsidR="00E44A0C" w:rsidRPr="00E44A0C">
        <w:rPr>
          <w:rFonts w:ascii="Arial" w:hAnsi="Arial" w:cs="Arial"/>
          <w:vertAlign w:val="subscript"/>
        </w:rPr>
        <w:t>2</w:t>
      </w:r>
      <w:r w:rsidR="00E44A0C">
        <w:rPr>
          <w:rFonts w:ascii="Arial" w:hAnsi="Arial" w:cs="Arial"/>
        </w:rPr>
        <w:t xml:space="preserve"> atmosphere. Experiments were performed on five independent occasions and majority</w:t>
      </w:r>
      <w:r>
        <w:rPr>
          <w:rFonts w:ascii="Arial" w:hAnsi="Arial" w:cs="Arial"/>
        </w:rPr>
        <w:t xml:space="preserve"> </w:t>
      </w:r>
      <w:r w:rsidR="00E44A0C">
        <w:rPr>
          <w:rFonts w:ascii="Arial" w:hAnsi="Arial" w:cs="Arial"/>
        </w:rPr>
        <w:t>values are reported.</w:t>
      </w:r>
    </w:p>
    <w:p w14:paraId="28D7BED8" w14:textId="2781FFFB" w:rsidR="005C781D" w:rsidRPr="005C781D" w:rsidRDefault="005C781D" w:rsidP="005C781D">
      <w:pPr>
        <w:spacing w:line="480" w:lineRule="auto"/>
        <w:rPr>
          <w:rFonts w:ascii="Arial" w:hAnsi="Arial" w:cs="Arial"/>
        </w:rPr>
      </w:pPr>
      <w:r w:rsidRPr="00667E65">
        <w:rPr>
          <w:rFonts w:ascii="Arial" w:hAnsi="Arial" w:cs="Arial"/>
          <w:b/>
        </w:rPr>
        <w:lastRenderedPageBreak/>
        <w:t>Fur induction and iron limitation growth curves.</w:t>
      </w:r>
      <w:r>
        <w:rPr>
          <w:rFonts w:ascii="Arial" w:hAnsi="Arial" w:cs="Arial"/>
        </w:rPr>
        <w:t xml:space="preserve"> Non-piliated colonies of WT FA1090, isogenic knockout ∆</w:t>
      </w:r>
      <w:proofErr w:type="spellStart"/>
      <w:r w:rsidRPr="00667E65">
        <w:rPr>
          <w:rFonts w:ascii="Arial" w:hAnsi="Arial" w:cs="Arial"/>
          <w:i/>
        </w:rPr>
        <w:t>mlaA</w:t>
      </w:r>
      <w:proofErr w:type="spellEnd"/>
      <w:r>
        <w:rPr>
          <w:rFonts w:ascii="Arial" w:hAnsi="Arial" w:cs="Arial"/>
        </w:rPr>
        <w:t>, and conditional knockout ∆</w:t>
      </w:r>
      <w:r w:rsidRPr="00667E65">
        <w:rPr>
          <w:rFonts w:ascii="Arial" w:hAnsi="Arial" w:cs="Arial"/>
          <w:i/>
        </w:rPr>
        <w:t>fur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P</w:t>
      </w:r>
      <w:r w:rsidRPr="00667E65">
        <w:rPr>
          <w:rFonts w:ascii="Arial" w:hAnsi="Arial" w:cs="Arial"/>
          <w:vertAlign w:val="subscript"/>
        </w:rPr>
        <w:t>lac</w:t>
      </w:r>
      <w:r>
        <w:rPr>
          <w:rFonts w:ascii="Arial" w:hAnsi="Arial" w:cs="Arial"/>
        </w:rPr>
        <w:t>::</w:t>
      </w:r>
      <w:proofErr w:type="gramEnd"/>
      <w:r w:rsidRPr="00667E65">
        <w:rPr>
          <w:rFonts w:ascii="Arial" w:hAnsi="Arial" w:cs="Arial"/>
          <w:i/>
        </w:rPr>
        <w:t>fur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were suspended to an OD</w:t>
      </w:r>
      <w:r w:rsidRPr="00667E65">
        <w:rPr>
          <w:rFonts w:ascii="Arial" w:hAnsi="Arial" w:cs="Arial"/>
          <w:vertAlign w:val="subscript"/>
        </w:rPr>
        <w:t>600</w:t>
      </w:r>
      <w:r>
        <w:rPr>
          <w:rFonts w:ascii="Arial" w:hAnsi="Arial" w:cs="Arial"/>
        </w:rPr>
        <w:t xml:space="preserve"> of 0.1 in GCBL supplemented with Kellogg’s supplement I and 0.042% sodium bicarbonate, but lacking Kellogg’s supplement II. Strains were cultured for an initial 3 h period at 37 ºC with shaking (220 rpm). Fur expression was induced by the addition of 100 µM IPTG during initial growth. After 3 h, ∆</w:t>
      </w:r>
      <w:r w:rsidRPr="00667E65">
        <w:rPr>
          <w:rFonts w:ascii="Arial" w:hAnsi="Arial" w:cs="Arial"/>
          <w:i/>
        </w:rPr>
        <w:t>fur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P</w:t>
      </w:r>
      <w:r w:rsidRPr="00667E65">
        <w:rPr>
          <w:rFonts w:ascii="Arial" w:hAnsi="Arial" w:cs="Arial"/>
          <w:vertAlign w:val="subscript"/>
        </w:rPr>
        <w:t>lac</w:t>
      </w:r>
      <w:r>
        <w:rPr>
          <w:rFonts w:ascii="Arial" w:hAnsi="Arial" w:cs="Arial"/>
        </w:rPr>
        <w:t>::</w:t>
      </w:r>
      <w:proofErr w:type="gramEnd"/>
      <w:r w:rsidRPr="00667E65">
        <w:rPr>
          <w:rFonts w:ascii="Arial" w:hAnsi="Arial" w:cs="Arial"/>
          <w:i/>
        </w:rPr>
        <w:t>fur</w:t>
      </w:r>
      <w:r>
        <w:rPr>
          <w:rFonts w:ascii="Arial" w:hAnsi="Arial" w:cs="Arial"/>
        </w:rPr>
        <w:t xml:space="preserve"> cultures were centrifuged at 5000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 w:rsidRPr="00667E65"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for 5 min, the supernatant was decanted</w:t>
      </w:r>
      <w:r w:rsidR="00EE4540">
        <w:rPr>
          <w:rFonts w:ascii="Arial" w:hAnsi="Arial" w:cs="Arial"/>
        </w:rPr>
        <w:t xml:space="preserve"> to remove IPTG</w:t>
      </w:r>
      <w:r>
        <w:rPr>
          <w:rFonts w:ascii="Arial" w:hAnsi="Arial" w:cs="Arial"/>
        </w:rPr>
        <w:t>, and the pellet was resuspended in medium supplemented as above but lacking IPTG. All cultures were back diluted to an OD</w:t>
      </w:r>
      <w:r w:rsidRPr="00667E65">
        <w:rPr>
          <w:rFonts w:ascii="Arial" w:hAnsi="Arial" w:cs="Arial"/>
          <w:vertAlign w:val="subscript"/>
        </w:rPr>
        <w:t>600</w:t>
      </w:r>
      <w:r>
        <w:rPr>
          <w:rFonts w:ascii="Arial" w:hAnsi="Arial" w:cs="Arial"/>
        </w:rPr>
        <w:t xml:space="preserve"> of 0.1 and supplemented with either Kellogg’s supplement II (1:1,000)</w:t>
      </w:r>
      <w:r w:rsidR="00EE4540">
        <w:rPr>
          <w:rFonts w:ascii="Arial" w:hAnsi="Arial" w:cs="Arial"/>
        </w:rPr>
        <w:t xml:space="preserve"> or 25 µM desferal. Fur expression was induced by the addition of 10, 50, or 100 µM IPTG both under standard growth conditions and iron starvation. Bacterial growth was monitored each hour by OD</w:t>
      </w:r>
      <w:r w:rsidR="00EE4540" w:rsidRPr="00667E65">
        <w:rPr>
          <w:rFonts w:ascii="Arial" w:hAnsi="Arial" w:cs="Arial"/>
          <w:vertAlign w:val="subscript"/>
        </w:rPr>
        <w:t>600</w:t>
      </w:r>
      <w:r w:rsidR="00EE4540">
        <w:rPr>
          <w:rFonts w:ascii="Arial" w:hAnsi="Arial" w:cs="Arial"/>
        </w:rPr>
        <w:t xml:space="preserve"> measurement. Growth curves </w:t>
      </w:r>
      <w:r w:rsidR="00F67C47">
        <w:rPr>
          <w:rFonts w:ascii="Arial" w:hAnsi="Arial" w:cs="Arial"/>
        </w:rPr>
        <w:t xml:space="preserve">from three independent experiments </w:t>
      </w:r>
      <w:r w:rsidR="00EE4540">
        <w:rPr>
          <w:rFonts w:ascii="Arial" w:hAnsi="Arial" w:cs="Arial"/>
        </w:rPr>
        <w:t xml:space="preserve">were plotted in GraphPad Prism and analyzed using the built-in two-way ANOVA to test for statistical significance at </w:t>
      </w:r>
      <w:r w:rsidR="00EE4540" w:rsidRPr="00667E65">
        <w:rPr>
          <w:rFonts w:ascii="Arial" w:hAnsi="Arial" w:cs="Arial"/>
          <w:i/>
        </w:rPr>
        <w:t>p</w:t>
      </w:r>
      <w:r w:rsidR="00EE4540">
        <w:rPr>
          <w:rFonts w:ascii="Arial" w:hAnsi="Arial" w:cs="Arial"/>
        </w:rPr>
        <w:t xml:space="preserve">&lt;0.05 using </w:t>
      </w:r>
      <w:proofErr w:type="spellStart"/>
      <w:r w:rsidR="00EE4540">
        <w:rPr>
          <w:rFonts w:ascii="Arial" w:hAnsi="Arial" w:cs="Arial"/>
        </w:rPr>
        <w:t>Sidak’s</w:t>
      </w:r>
      <w:proofErr w:type="spellEnd"/>
      <w:r w:rsidR="00EE4540">
        <w:rPr>
          <w:rFonts w:ascii="Arial" w:hAnsi="Arial" w:cs="Arial"/>
        </w:rPr>
        <w:t xml:space="preserve"> multiple comparisons test.</w:t>
      </w:r>
    </w:p>
    <w:p w14:paraId="1F9817DA" w14:textId="77777777" w:rsidR="005C781D" w:rsidRDefault="005C781D" w:rsidP="000610F7">
      <w:pPr>
        <w:spacing w:line="480" w:lineRule="auto"/>
        <w:rPr>
          <w:rFonts w:ascii="Arial" w:hAnsi="Arial" w:cs="Arial"/>
        </w:rPr>
      </w:pPr>
    </w:p>
    <w:p w14:paraId="5C27807B" w14:textId="2E9D908F" w:rsidR="00466E06" w:rsidRDefault="00466E06" w:rsidP="000610F7">
      <w:pPr>
        <w:spacing w:line="480" w:lineRule="auto"/>
        <w:rPr>
          <w:rFonts w:ascii="Arial" w:hAnsi="Arial" w:cs="Arial"/>
          <w:b/>
        </w:rPr>
      </w:pPr>
      <w:r w:rsidRPr="00466E06">
        <w:rPr>
          <w:rFonts w:ascii="Arial" w:hAnsi="Arial" w:cs="Arial"/>
          <w:b/>
        </w:rPr>
        <w:t xml:space="preserve">SUPPLEMENTAL TABLES </w:t>
      </w:r>
    </w:p>
    <w:p w14:paraId="454B5628" w14:textId="77CA18CD" w:rsidR="00466E06" w:rsidRPr="00466E06" w:rsidRDefault="00466E06" w:rsidP="00466E06">
      <w:pPr>
        <w:spacing w:line="480" w:lineRule="auto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Table 1. </w:t>
      </w:r>
      <w:r w:rsidRPr="00627D28">
        <w:rPr>
          <w:rFonts w:ascii="Arial" w:eastAsia="Calibri" w:hAnsi="Arial" w:cs="Arial"/>
          <w:b/>
        </w:rPr>
        <w:t>Amino acid identity of members of</w:t>
      </w:r>
      <w:r>
        <w:rPr>
          <w:rFonts w:ascii="Arial" w:eastAsia="Calibri" w:hAnsi="Arial" w:cs="Arial"/>
          <w:b/>
        </w:rPr>
        <w:t xml:space="preserve"> the</w:t>
      </w:r>
      <w:r w:rsidRPr="00627D28">
        <w:rPr>
          <w:rFonts w:ascii="Arial" w:eastAsia="Calibri" w:hAnsi="Arial" w:cs="Arial"/>
          <w:b/>
        </w:rPr>
        <w:t xml:space="preserve"> </w:t>
      </w:r>
      <w:r w:rsidRPr="00876452">
        <w:rPr>
          <w:rFonts w:ascii="Arial" w:eastAsia="Calibri" w:hAnsi="Arial" w:cs="Arial"/>
          <w:b/>
          <w:i/>
        </w:rPr>
        <w:t>N. gonorrhoeae</w:t>
      </w:r>
      <w:r w:rsidRPr="00627D28">
        <w:rPr>
          <w:rFonts w:ascii="Arial" w:eastAsia="Calibri" w:hAnsi="Arial" w:cs="Arial"/>
          <w:b/>
        </w:rPr>
        <w:t xml:space="preserve"> </w:t>
      </w:r>
      <w:proofErr w:type="spellStart"/>
      <w:r w:rsidRPr="00627D28">
        <w:rPr>
          <w:rFonts w:ascii="Arial" w:eastAsia="Calibri" w:hAnsi="Arial" w:cs="Arial"/>
          <w:b/>
        </w:rPr>
        <w:t>Mla</w:t>
      </w:r>
      <w:proofErr w:type="spellEnd"/>
      <w:r w:rsidRPr="00627D28">
        <w:rPr>
          <w:rFonts w:ascii="Arial" w:eastAsia="Calibri" w:hAnsi="Arial" w:cs="Arial"/>
          <w:b/>
        </w:rPr>
        <w:t xml:space="preserve"> operon</w:t>
      </w:r>
      <w:r>
        <w:rPr>
          <w:rFonts w:ascii="Arial" w:eastAsia="Calibri" w:hAnsi="Arial" w:cs="Arial"/>
          <w:b/>
        </w:rPr>
        <w:t xml:space="preserve"> with their </w:t>
      </w:r>
      <w:r w:rsidRPr="00876452">
        <w:rPr>
          <w:rFonts w:ascii="Arial" w:eastAsia="Calibri" w:hAnsi="Arial" w:cs="Arial"/>
          <w:b/>
          <w:i/>
        </w:rPr>
        <w:t>E. coli</w:t>
      </w:r>
      <w:r>
        <w:rPr>
          <w:rFonts w:ascii="Arial" w:eastAsia="Calibri" w:hAnsi="Arial" w:cs="Arial"/>
          <w:b/>
        </w:rPr>
        <w:t xml:space="preserve"> homologs</w:t>
      </w:r>
      <w:r w:rsidRPr="00627D28">
        <w:rPr>
          <w:rFonts w:ascii="Arial" w:eastAsia="Calibri" w:hAnsi="Arial" w:cs="Arial"/>
          <w:b/>
        </w:rPr>
        <w:t>.</w:t>
      </w:r>
    </w:p>
    <w:tbl>
      <w:tblPr>
        <w:tblW w:w="5643" w:type="dxa"/>
        <w:tblInd w:w="29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953"/>
        <w:gridCol w:w="2070"/>
        <w:gridCol w:w="1620"/>
      </w:tblGrid>
      <w:tr w:rsidR="00466E06" w:rsidRPr="00450682" w14:paraId="2564AE0A" w14:textId="77777777" w:rsidTr="008741BF">
        <w:tc>
          <w:tcPr>
            <w:tcW w:w="1953" w:type="dxa"/>
            <w:tcBorders>
              <w:bottom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6350E6D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  <w:b/>
                <w:bCs/>
              </w:rPr>
              <w:t>FA1090 Genetic Locus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C7759E4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  <w:b/>
                <w:bCs/>
                <w:i/>
              </w:rPr>
              <w:t>E. coli</w:t>
            </w:r>
            <w:r w:rsidRPr="00450682">
              <w:rPr>
                <w:rFonts w:ascii="Arial" w:hAnsi="Arial" w:cs="Arial"/>
                <w:b/>
                <w:bCs/>
              </w:rPr>
              <w:t xml:space="preserve"> homolog with </w:t>
            </w:r>
            <w:proofErr w:type="spellStart"/>
            <w:r w:rsidRPr="00450682">
              <w:rPr>
                <w:rFonts w:ascii="Arial" w:hAnsi="Arial" w:cs="Arial"/>
                <w:b/>
                <w:bCs/>
              </w:rPr>
              <w:t>UniProt</w:t>
            </w:r>
            <w:proofErr w:type="spellEnd"/>
            <w:r w:rsidRPr="00450682">
              <w:rPr>
                <w:rFonts w:ascii="Arial" w:hAnsi="Arial" w:cs="Arial"/>
                <w:b/>
                <w:bCs/>
              </w:rPr>
              <w:t xml:space="preserve"> 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9C0680E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  <w:b/>
                <w:bCs/>
              </w:rPr>
              <w:t xml:space="preserve">Amino Acid </w:t>
            </w:r>
            <w:proofErr w:type="spellStart"/>
            <w:r w:rsidRPr="00450682">
              <w:rPr>
                <w:rFonts w:ascii="Arial" w:hAnsi="Arial" w:cs="Arial"/>
                <w:b/>
                <w:bCs/>
              </w:rPr>
              <w:t>Identity</w:t>
            </w:r>
            <w:r w:rsidRPr="00450682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466E06" w:rsidRPr="00450682" w14:paraId="46D591B8" w14:textId="77777777" w:rsidTr="008741BF">
        <w:tblPrEx>
          <w:tblBorders>
            <w:top w:val="none" w:sz="0" w:space="0" w:color="auto"/>
          </w:tblBorders>
        </w:tblPrEx>
        <w:tc>
          <w:tcPr>
            <w:tcW w:w="1953" w:type="dxa"/>
            <w:tcBorders>
              <w:top w:val="single" w:sz="4" w:space="0" w:color="auto"/>
              <w:bottom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2757E04" w14:textId="77777777" w:rsidR="00466E06" w:rsidRPr="00450682" w:rsidRDefault="00466E06" w:rsidP="008741BF">
            <w:pPr>
              <w:rPr>
                <w:rFonts w:ascii="Arial" w:hAnsi="Arial" w:cs="Arial"/>
                <w:i/>
                <w:iCs/>
              </w:rPr>
            </w:pPr>
            <w:r w:rsidRPr="00450682">
              <w:rPr>
                <w:rFonts w:ascii="Arial" w:hAnsi="Arial" w:cs="Arial"/>
                <w:i/>
                <w:iCs/>
              </w:rPr>
              <w:t>ngo2120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7024C4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proofErr w:type="spellStart"/>
            <w:r w:rsidRPr="00450682">
              <w:rPr>
                <w:rFonts w:ascii="Arial" w:hAnsi="Arial" w:cs="Arial"/>
                <w:i/>
              </w:rPr>
              <w:t>mlaB</w:t>
            </w:r>
            <w:proofErr w:type="spellEnd"/>
            <w:r w:rsidRPr="00450682">
              <w:rPr>
                <w:rFonts w:ascii="Arial" w:hAnsi="Arial" w:cs="Arial"/>
              </w:rPr>
              <w:t xml:space="preserve"> (P64602)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93F275B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</w:rPr>
              <w:t>24.3%</w:t>
            </w:r>
          </w:p>
        </w:tc>
      </w:tr>
      <w:tr w:rsidR="00466E06" w:rsidRPr="00450682" w14:paraId="4116E640" w14:textId="77777777" w:rsidTr="008741BF">
        <w:tblPrEx>
          <w:tblBorders>
            <w:top w:val="none" w:sz="0" w:space="0" w:color="auto"/>
          </w:tblBorders>
        </w:tblPrEx>
        <w:tc>
          <w:tcPr>
            <w:tcW w:w="1953" w:type="dxa"/>
            <w:tcBorders>
              <w:top w:val="nil"/>
              <w:lef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A441A83" w14:textId="77777777" w:rsidR="00466E06" w:rsidRPr="00450682" w:rsidRDefault="00466E06" w:rsidP="008741BF">
            <w:pPr>
              <w:rPr>
                <w:rFonts w:ascii="Arial" w:hAnsi="Arial" w:cs="Arial"/>
                <w:i/>
              </w:rPr>
            </w:pPr>
            <w:r w:rsidRPr="00450682">
              <w:rPr>
                <w:rFonts w:ascii="Arial" w:hAnsi="Arial" w:cs="Arial"/>
                <w:i/>
              </w:rPr>
              <w:t>ngo2119</w:t>
            </w:r>
          </w:p>
        </w:tc>
        <w:tc>
          <w:tcPr>
            <w:tcW w:w="2070" w:type="dxa"/>
            <w:tcBorders>
              <w:top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1B9BED2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proofErr w:type="spellStart"/>
            <w:r w:rsidRPr="00450682">
              <w:rPr>
                <w:rFonts w:ascii="Arial" w:hAnsi="Arial" w:cs="Arial"/>
                <w:i/>
              </w:rPr>
              <w:t>mlaC</w:t>
            </w:r>
            <w:proofErr w:type="spellEnd"/>
            <w:r w:rsidRPr="00450682">
              <w:rPr>
                <w:rFonts w:ascii="Arial" w:hAnsi="Arial" w:cs="Arial"/>
              </w:rPr>
              <w:t xml:space="preserve"> (P0ADV7)</w:t>
            </w:r>
          </w:p>
        </w:tc>
        <w:tc>
          <w:tcPr>
            <w:tcW w:w="1620" w:type="dxa"/>
            <w:tcBorders>
              <w:top w:val="nil"/>
              <w:right w:val="nil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DDA7712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</w:rPr>
              <w:t>24.8%</w:t>
            </w:r>
          </w:p>
        </w:tc>
      </w:tr>
      <w:tr w:rsidR="00466E06" w:rsidRPr="00450682" w14:paraId="50EC081E" w14:textId="77777777" w:rsidTr="008741BF">
        <w:tblPrEx>
          <w:tblBorders>
            <w:top w:val="none" w:sz="0" w:space="0" w:color="auto"/>
          </w:tblBorders>
        </w:tblPrEx>
        <w:tc>
          <w:tcPr>
            <w:tcW w:w="1953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68BF0B4" w14:textId="77777777" w:rsidR="00466E06" w:rsidRPr="00450682" w:rsidRDefault="00466E06" w:rsidP="008741BF">
            <w:pPr>
              <w:rPr>
                <w:rFonts w:ascii="Arial" w:hAnsi="Arial" w:cs="Arial"/>
                <w:i/>
              </w:rPr>
            </w:pPr>
            <w:r w:rsidRPr="00450682">
              <w:rPr>
                <w:rFonts w:ascii="Arial" w:hAnsi="Arial" w:cs="Arial"/>
                <w:i/>
              </w:rPr>
              <w:t>ngo2118</w:t>
            </w:r>
          </w:p>
        </w:tc>
        <w:tc>
          <w:tcPr>
            <w:tcW w:w="207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19DFFDB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proofErr w:type="spellStart"/>
            <w:r w:rsidRPr="00450682">
              <w:rPr>
                <w:rFonts w:ascii="Arial" w:hAnsi="Arial" w:cs="Arial"/>
              </w:rPr>
              <w:t>mlaD</w:t>
            </w:r>
            <w:proofErr w:type="spellEnd"/>
            <w:r w:rsidRPr="00450682">
              <w:rPr>
                <w:rFonts w:ascii="Arial" w:hAnsi="Arial" w:cs="Arial"/>
              </w:rPr>
              <w:t xml:space="preserve"> (P64604)</w:t>
            </w:r>
          </w:p>
        </w:tc>
        <w:tc>
          <w:tcPr>
            <w:tcW w:w="162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56D65EE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</w:rPr>
              <w:t>37.2%</w:t>
            </w:r>
          </w:p>
        </w:tc>
      </w:tr>
      <w:tr w:rsidR="00466E06" w:rsidRPr="00450682" w14:paraId="25E2820F" w14:textId="77777777" w:rsidTr="008741BF">
        <w:tblPrEx>
          <w:tblBorders>
            <w:top w:val="none" w:sz="0" w:space="0" w:color="auto"/>
          </w:tblBorders>
        </w:tblPrEx>
        <w:tc>
          <w:tcPr>
            <w:tcW w:w="1953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A004AA2" w14:textId="77777777" w:rsidR="00466E06" w:rsidRPr="00450682" w:rsidRDefault="00466E06" w:rsidP="008741BF">
            <w:pPr>
              <w:rPr>
                <w:rFonts w:ascii="Arial" w:hAnsi="Arial" w:cs="Arial"/>
                <w:i/>
              </w:rPr>
            </w:pPr>
            <w:r w:rsidRPr="00450682">
              <w:rPr>
                <w:rFonts w:ascii="Arial" w:hAnsi="Arial" w:cs="Arial"/>
                <w:i/>
              </w:rPr>
              <w:t>ngo2117</w:t>
            </w:r>
          </w:p>
        </w:tc>
        <w:tc>
          <w:tcPr>
            <w:tcW w:w="207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83BD343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proofErr w:type="spellStart"/>
            <w:r w:rsidRPr="00450682">
              <w:rPr>
                <w:rFonts w:ascii="Arial" w:hAnsi="Arial" w:cs="Arial"/>
              </w:rPr>
              <w:t>mlaE</w:t>
            </w:r>
            <w:proofErr w:type="spellEnd"/>
            <w:r w:rsidRPr="00450682">
              <w:rPr>
                <w:rFonts w:ascii="Arial" w:hAnsi="Arial" w:cs="Arial"/>
              </w:rPr>
              <w:t xml:space="preserve"> (P64606)</w:t>
            </w:r>
          </w:p>
        </w:tc>
        <w:tc>
          <w:tcPr>
            <w:tcW w:w="162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A2483D6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</w:rPr>
              <w:t>52.7%</w:t>
            </w:r>
          </w:p>
        </w:tc>
      </w:tr>
      <w:tr w:rsidR="00466E06" w:rsidRPr="00450682" w14:paraId="178AB981" w14:textId="77777777" w:rsidTr="008741BF">
        <w:tblPrEx>
          <w:tblBorders>
            <w:top w:val="none" w:sz="0" w:space="0" w:color="auto"/>
          </w:tblBorders>
        </w:tblPrEx>
        <w:tc>
          <w:tcPr>
            <w:tcW w:w="1953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DA440B4" w14:textId="77777777" w:rsidR="00466E06" w:rsidRPr="00450682" w:rsidRDefault="00466E06" w:rsidP="008741BF">
            <w:pPr>
              <w:rPr>
                <w:rFonts w:ascii="Arial" w:hAnsi="Arial" w:cs="Arial"/>
                <w:i/>
                <w:iCs/>
              </w:rPr>
            </w:pPr>
            <w:r w:rsidRPr="00450682">
              <w:rPr>
                <w:rFonts w:ascii="Arial" w:hAnsi="Arial" w:cs="Arial"/>
                <w:i/>
                <w:iCs/>
              </w:rPr>
              <w:t>ngo2116</w:t>
            </w:r>
          </w:p>
        </w:tc>
        <w:tc>
          <w:tcPr>
            <w:tcW w:w="207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532FA1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proofErr w:type="spellStart"/>
            <w:r w:rsidRPr="00450682">
              <w:rPr>
                <w:rFonts w:ascii="Arial" w:hAnsi="Arial" w:cs="Arial"/>
              </w:rPr>
              <w:t>mlaF</w:t>
            </w:r>
            <w:proofErr w:type="spellEnd"/>
            <w:r w:rsidRPr="00450682">
              <w:rPr>
                <w:rFonts w:ascii="Arial" w:hAnsi="Arial" w:cs="Arial"/>
              </w:rPr>
              <w:t xml:space="preserve"> (P63386)</w:t>
            </w:r>
          </w:p>
        </w:tc>
        <w:tc>
          <w:tcPr>
            <w:tcW w:w="1620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F56FF3E" w14:textId="77777777" w:rsidR="00466E06" w:rsidRPr="00450682" w:rsidRDefault="00466E06" w:rsidP="008741BF">
            <w:pPr>
              <w:rPr>
                <w:rFonts w:ascii="Arial" w:hAnsi="Arial" w:cs="Arial"/>
              </w:rPr>
            </w:pPr>
            <w:r w:rsidRPr="00450682">
              <w:rPr>
                <w:rFonts w:ascii="Arial" w:hAnsi="Arial" w:cs="Arial"/>
              </w:rPr>
              <w:t>46.5%</w:t>
            </w:r>
          </w:p>
        </w:tc>
      </w:tr>
    </w:tbl>
    <w:p w14:paraId="3FFB4462" w14:textId="77777777" w:rsidR="00466E06" w:rsidRPr="00450682" w:rsidRDefault="00466E06" w:rsidP="00466E06">
      <w:pPr>
        <w:rPr>
          <w:rFonts w:ascii="Arial" w:hAnsi="Arial" w:cs="Arial"/>
          <w:sz w:val="20"/>
          <w:szCs w:val="20"/>
        </w:rPr>
      </w:pPr>
      <w:proofErr w:type="spellStart"/>
      <w:r w:rsidRPr="00450682">
        <w:rPr>
          <w:rFonts w:ascii="Arial" w:hAnsi="Arial" w:cs="Arial"/>
          <w:sz w:val="20"/>
          <w:szCs w:val="20"/>
          <w:vertAlign w:val="superscript"/>
        </w:rPr>
        <w:t>a</w:t>
      </w:r>
      <w:r w:rsidRPr="00450682">
        <w:rPr>
          <w:rFonts w:ascii="Arial" w:hAnsi="Arial" w:cs="Arial"/>
          <w:sz w:val="20"/>
          <w:szCs w:val="20"/>
        </w:rPr>
        <w:t>Amino</w:t>
      </w:r>
      <w:proofErr w:type="spellEnd"/>
      <w:r w:rsidRPr="00450682">
        <w:rPr>
          <w:rFonts w:ascii="Arial" w:hAnsi="Arial" w:cs="Arial"/>
          <w:sz w:val="20"/>
          <w:szCs w:val="20"/>
        </w:rPr>
        <w:t xml:space="preserve"> acid identity was assessed with the EMBOSS Needle online pairwise protein alignment tool (https://www.ebi.ac.uk/Tools/psa/emboss_needle/).</w:t>
      </w:r>
    </w:p>
    <w:p w14:paraId="0E5FDCC9" w14:textId="77777777" w:rsidR="00466E06" w:rsidRDefault="00466E06" w:rsidP="00466E06">
      <w:pPr>
        <w:spacing w:line="480" w:lineRule="auto"/>
        <w:outlineLvl w:val="0"/>
        <w:rPr>
          <w:rFonts w:ascii="Arial" w:eastAsia="Calibri" w:hAnsi="Arial" w:cs="Arial"/>
          <w:b/>
        </w:rPr>
      </w:pPr>
    </w:p>
    <w:p w14:paraId="2685510E" w14:textId="77777777" w:rsidR="00466E06" w:rsidRDefault="00466E06" w:rsidP="00466E06">
      <w:pPr>
        <w:spacing w:line="480" w:lineRule="auto"/>
        <w:outlineLvl w:val="0"/>
        <w:rPr>
          <w:rFonts w:ascii="Arial" w:eastAsia="Calibri" w:hAnsi="Arial" w:cs="Arial"/>
          <w:b/>
        </w:rPr>
      </w:pPr>
    </w:p>
    <w:p w14:paraId="4F563A9B" w14:textId="1CE65AD4" w:rsidR="00466E06" w:rsidRPr="00466E06" w:rsidRDefault="00466E06" w:rsidP="00466E06">
      <w:pPr>
        <w:spacing w:line="480" w:lineRule="auto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Table 2. </w:t>
      </w:r>
      <w:r w:rsidRPr="00CE6C14">
        <w:rPr>
          <w:rFonts w:ascii="Arial" w:hAnsi="Arial" w:cs="Arial"/>
          <w:b/>
        </w:rPr>
        <w:t>Agar dilution assessment of WT, ∆</w:t>
      </w:r>
      <w:proofErr w:type="spellStart"/>
      <w:r w:rsidRPr="00CE6C14">
        <w:rPr>
          <w:rFonts w:ascii="Arial" w:hAnsi="Arial" w:cs="Arial"/>
          <w:b/>
          <w:i/>
        </w:rPr>
        <w:t>mlaA</w:t>
      </w:r>
      <w:proofErr w:type="spellEnd"/>
      <w:r w:rsidRPr="00CE6C14">
        <w:rPr>
          <w:rFonts w:ascii="Arial" w:hAnsi="Arial" w:cs="Arial"/>
          <w:b/>
        </w:rPr>
        <w:t>, ∆</w:t>
      </w:r>
      <w:proofErr w:type="spellStart"/>
      <w:r w:rsidRPr="00CE6C14">
        <w:rPr>
          <w:rFonts w:ascii="Arial" w:hAnsi="Arial" w:cs="Arial"/>
          <w:b/>
          <w:i/>
        </w:rPr>
        <w:t>mlaA</w:t>
      </w:r>
      <w:proofErr w:type="spellEnd"/>
      <w:r w:rsidRPr="00CE6C14">
        <w:rPr>
          <w:rFonts w:ascii="Arial" w:hAnsi="Arial" w:cs="Arial"/>
          <w:b/>
        </w:rPr>
        <w:t>/</w:t>
      </w:r>
      <w:proofErr w:type="spellStart"/>
      <w:proofErr w:type="gramStart"/>
      <w:r w:rsidRPr="00CE6C14">
        <w:rPr>
          <w:rFonts w:ascii="Arial" w:hAnsi="Arial" w:cs="Arial"/>
          <w:b/>
        </w:rPr>
        <w:t>P</w:t>
      </w:r>
      <w:r w:rsidRPr="00CE6C14">
        <w:rPr>
          <w:rFonts w:ascii="Arial" w:hAnsi="Arial" w:cs="Arial"/>
          <w:b/>
          <w:vertAlign w:val="subscript"/>
        </w:rPr>
        <w:t>lac</w:t>
      </w:r>
      <w:proofErr w:type="spellEnd"/>
      <w:r w:rsidRPr="00CE6C14">
        <w:rPr>
          <w:rFonts w:ascii="Arial" w:hAnsi="Arial" w:cs="Arial"/>
          <w:b/>
        </w:rPr>
        <w:t>::</w:t>
      </w:r>
      <w:proofErr w:type="spellStart"/>
      <w:proofErr w:type="gramEnd"/>
      <w:r w:rsidRPr="00CE6C14">
        <w:rPr>
          <w:rFonts w:ascii="Arial" w:hAnsi="Arial" w:cs="Arial"/>
          <w:b/>
          <w:i/>
        </w:rPr>
        <w:t>mlaA</w:t>
      </w:r>
      <w:proofErr w:type="spellEnd"/>
      <w:r w:rsidRPr="00CE6C14">
        <w:rPr>
          <w:rFonts w:ascii="Arial" w:hAnsi="Arial" w:cs="Arial"/>
          <w:b/>
        </w:rPr>
        <w:t>, and ∆</w:t>
      </w:r>
      <w:proofErr w:type="spellStart"/>
      <w:r w:rsidRPr="00CE6C14">
        <w:rPr>
          <w:rFonts w:ascii="Arial" w:hAnsi="Arial" w:cs="Arial"/>
          <w:b/>
          <w:i/>
        </w:rPr>
        <w:t>mlaA</w:t>
      </w:r>
      <w:proofErr w:type="spellEnd"/>
      <w:r w:rsidRPr="00CE6C14">
        <w:rPr>
          <w:rFonts w:ascii="Arial" w:hAnsi="Arial" w:cs="Arial"/>
          <w:b/>
        </w:rPr>
        <w:t>/</w:t>
      </w:r>
      <w:proofErr w:type="spellStart"/>
      <w:r w:rsidRPr="00CE6C14">
        <w:rPr>
          <w:rFonts w:ascii="Arial" w:hAnsi="Arial" w:cs="Arial"/>
          <w:b/>
        </w:rPr>
        <w:t>P</w:t>
      </w:r>
      <w:r w:rsidRPr="00CE6C14">
        <w:rPr>
          <w:rFonts w:ascii="Arial" w:hAnsi="Arial" w:cs="Arial"/>
          <w:b/>
          <w:vertAlign w:val="subscript"/>
        </w:rPr>
        <w:t>lac</w:t>
      </w:r>
      <w:proofErr w:type="spellEnd"/>
      <w:r w:rsidRPr="00CE6C14">
        <w:rPr>
          <w:rFonts w:ascii="Arial" w:hAnsi="Arial" w:cs="Arial"/>
          <w:b/>
        </w:rPr>
        <w:t>::</w:t>
      </w:r>
      <w:proofErr w:type="spellStart"/>
      <w:r w:rsidRPr="00CE6C14">
        <w:rPr>
          <w:rFonts w:ascii="Arial" w:hAnsi="Arial" w:cs="Arial"/>
          <w:b/>
          <w:i/>
        </w:rPr>
        <w:t>pldA</w:t>
      </w:r>
      <w:proofErr w:type="spellEnd"/>
      <w:r w:rsidRPr="00CE6C14">
        <w:rPr>
          <w:rFonts w:ascii="Arial" w:hAnsi="Arial" w:cs="Arial"/>
          <w:b/>
        </w:rPr>
        <w:t xml:space="preserve"> MICs</w:t>
      </w:r>
      <w:r>
        <w:rPr>
          <w:rFonts w:ascii="Arial" w:hAnsi="Arial" w:cs="Arial"/>
          <w:b/>
        </w:rPr>
        <w:t>.</w:t>
      </w:r>
    </w:p>
    <w:tbl>
      <w:tblPr>
        <w:tblW w:w="7732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1881"/>
        <w:gridCol w:w="1881"/>
        <w:gridCol w:w="1787"/>
      </w:tblGrid>
      <w:tr w:rsidR="00466E06" w:rsidRPr="00CE6C14" w14:paraId="1A207131" w14:textId="77777777" w:rsidTr="008741BF">
        <w:trPr>
          <w:trHeight w:val="356"/>
        </w:trPr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3A133309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14:paraId="0D99BB3C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r w:rsidRPr="00CE6C14">
              <w:rPr>
                <w:rFonts w:ascii="Arial" w:hAnsi="Arial" w:cs="Arial"/>
                <w:b/>
                <w:color w:val="000000"/>
              </w:rPr>
              <w:t>Polymyxin B</w:t>
            </w:r>
            <w:r w:rsidRPr="00CE6C14">
              <w:rPr>
                <w:rFonts w:ascii="Arial" w:hAnsi="Arial" w:cs="Arial"/>
                <w:b/>
                <w:color w:val="000000"/>
                <w:vertAlign w:val="superscript"/>
              </w:rPr>
              <w:t>a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14:paraId="5DB0B3E7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E6C14">
              <w:rPr>
                <w:rFonts w:ascii="Arial" w:hAnsi="Arial" w:cs="Arial"/>
                <w:b/>
                <w:color w:val="000000"/>
              </w:rPr>
              <w:t>Vancomycin</w:t>
            </w:r>
            <w:r w:rsidRPr="00CE6C14">
              <w:rPr>
                <w:rFonts w:ascii="Arial" w:hAnsi="Arial" w:cs="Arial"/>
                <w:b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14:paraId="5EF28D37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E6C14">
              <w:rPr>
                <w:rFonts w:ascii="Arial" w:hAnsi="Arial" w:cs="Arial"/>
                <w:b/>
                <w:color w:val="000000"/>
              </w:rPr>
              <w:t>Ampicillin</w:t>
            </w:r>
            <w:r w:rsidRPr="00CE6C14">
              <w:rPr>
                <w:rFonts w:ascii="Arial" w:hAnsi="Arial" w:cs="Arial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466E06" w:rsidRPr="00CE6C14" w14:paraId="35EDE701" w14:textId="77777777" w:rsidTr="008741BF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2183" w:type="dxa"/>
            <w:tcBorders>
              <w:top w:val="single" w:sz="4" w:space="0" w:color="auto"/>
            </w:tcBorders>
            <w:vAlign w:val="bottom"/>
          </w:tcPr>
          <w:p w14:paraId="69A32217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r w:rsidRPr="00CE6C14">
              <w:rPr>
                <w:rFonts w:ascii="Arial" w:hAnsi="Arial" w:cs="Arial"/>
                <w:b/>
                <w:color w:val="000000"/>
              </w:rPr>
              <w:t>WT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bottom"/>
          </w:tcPr>
          <w:p w14:paraId="325FBC86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bottom"/>
          </w:tcPr>
          <w:p w14:paraId="1DD0374D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14:paraId="57E6378C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466E06" w:rsidRPr="00CE6C14" w14:paraId="056471EC" w14:textId="77777777" w:rsidTr="008741BF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2183" w:type="dxa"/>
            <w:vAlign w:val="bottom"/>
          </w:tcPr>
          <w:p w14:paraId="02C3CF7C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r w:rsidRPr="00CE6C14">
              <w:rPr>
                <w:rFonts w:ascii="Arial" w:hAnsi="Arial" w:cs="Arial"/>
                <w:b/>
                <w:color w:val="000000"/>
              </w:rPr>
              <w:t>∆</w:t>
            </w:r>
            <w:proofErr w:type="spellStart"/>
            <w:r w:rsidRPr="00CE6C14">
              <w:rPr>
                <w:rFonts w:ascii="Arial" w:hAnsi="Arial" w:cs="Arial"/>
                <w:b/>
                <w:i/>
                <w:color w:val="000000"/>
              </w:rPr>
              <w:t>mlaA</w:t>
            </w:r>
            <w:proofErr w:type="spellEnd"/>
          </w:p>
        </w:tc>
        <w:tc>
          <w:tcPr>
            <w:tcW w:w="1881" w:type="dxa"/>
            <w:vAlign w:val="bottom"/>
          </w:tcPr>
          <w:p w14:paraId="2CFB6B6A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881" w:type="dxa"/>
            <w:vAlign w:val="bottom"/>
          </w:tcPr>
          <w:p w14:paraId="44549129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87" w:type="dxa"/>
            <w:vAlign w:val="bottom"/>
          </w:tcPr>
          <w:p w14:paraId="7B519F98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466E06" w:rsidRPr="00CE6C14" w14:paraId="146CC884" w14:textId="77777777" w:rsidTr="008741BF">
        <w:tblPrEx>
          <w:tblBorders>
            <w:top w:val="none" w:sz="0" w:space="0" w:color="auto"/>
          </w:tblBorders>
        </w:tblPrEx>
        <w:trPr>
          <w:trHeight w:val="306"/>
        </w:trPr>
        <w:tc>
          <w:tcPr>
            <w:tcW w:w="2183" w:type="dxa"/>
            <w:tcBorders>
              <w:bottom w:val="nil"/>
            </w:tcBorders>
            <w:vAlign w:val="bottom"/>
          </w:tcPr>
          <w:p w14:paraId="79732D31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r w:rsidRPr="00CE6C14">
              <w:rPr>
                <w:rFonts w:ascii="Arial" w:hAnsi="Arial" w:cs="Arial"/>
                <w:b/>
                <w:color w:val="000000"/>
              </w:rPr>
              <w:t>∆</w:t>
            </w:r>
            <w:proofErr w:type="spellStart"/>
            <w:r w:rsidRPr="00CE6C14">
              <w:rPr>
                <w:rFonts w:ascii="Arial" w:hAnsi="Arial" w:cs="Arial"/>
                <w:b/>
                <w:i/>
                <w:color w:val="000000"/>
              </w:rPr>
              <w:t>mlaA</w:t>
            </w:r>
            <w:proofErr w:type="spellEnd"/>
            <w:r w:rsidRPr="00CE6C1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proofErr w:type="gramStart"/>
            <w:r w:rsidRPr="00CE6C14">
              <w:rPr>
                <w:rFonts w:ascii="Arial" w:hAnsi="Arial" w:cs="Arial"/>
                <w:b/>
                <w:color w:val="000000"/>
              </w:rPr>
              <w:t>P</w:t>
            </w:r>
            <w:r w:rsidRPr="00CE6C14">
              <w:rPr>
                <w:rFonts w:ascii="Arial" w:hAnsi="Arial" w:cs="Arial"/>
                <w:b/>
                <w:color w:val="000000"/>
                <w:vertAlign w:val="subscript"/>
              </w:rPr>
              <w:t>lac</w:t>
            </w:r>
            <w:proofErr w:type="spellEnd"/>
            <w:r w:rsidRPr="00CE6C14">
              <w:rPr>
                <w:rFonts w:ascii="Arial" w:hAnsi="Arial" w:cs="Arial"/>
                <w:b/>
                <w:color w:val="000000"/>
              </w:rPr>
              <w:t>::</w:t>
            </w:r>
            <w:proofErr w:type="spellStart"/>
            <w:proofErr w:type="gramEnd"/>
            <w:r w:rsidRPr="00CE6C14">
              <w:rPr>
                <w:rFonts w:ascii="Arial" w:hAnsi="Arial" w:cs="Arial"/>
                <w:b/>
                <w:i/>
                <w:color w:val="000000"/>
              </w:rPr>
              <w:t>mlaA</w:t>
            </w:r>
            <w:proofErr w:type="spellEnd"/>
          </w:p>
        </w:tc>
        <w:tc>
          <w:tcPr>
            <w:tcW w:w="1881" w:type="dxa"/>
            <w:tcBorders>
              <w:bottom w:val="nil"/>
            </w:tcBorders>
            <w:vAlign w:val="bottom"/>
          </w:tcPr>
          <w:p w14:paraId="5299B56C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881" w:type="dxa"/>
            <w:tcBorders>
              <w:bottom w:val="nil"/>
            </w:tcBorders>
            <w:vAlign w:val="bottom"/>
          </w:tcPr>
          <w:p w14:paraId="6DD1DD8D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87" w:type="dxa"/>
            <w:tcBorders>
              <w:bottom w:val="nil"/>
            </w:tcBorders>
            <w:vAlign w:val="bottom"/>
          </w:tcPr>
          <w:p w14:paraId="272D6AF4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466E06" w:rsidRPr="00CE6C14" w14:paraId="7AB9C3C8" w14:textId="77777777" w:rsidTr="008741BF">
        <w:trPr>
          <w:trHeight w:val="108"/>
        </w:trPr>
        <w:tc>
          <w:tcPr>
            <w:tcW w:w="2183" w:type="dxa"/>
            <w:tcBorders>
              <w:top w:val="nil"/>
              <w:bottom w:val="single" w:sz="4" w:space="0" w:color="auto"/>
            </w:tcBorders>
            <w:vAlign w:val="bottom"/>
          </w:tcPr>
          <w:p w14:paraId="2C553A6F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b/>
                <w:color w:val="000000"/>
              </w:rPr>
            </w:pPr>
            <w:r w:rsidRPr="00CE6C14">
              <w:rPr>
                <w:rFonts w:ascii="Arial" w:hAnsi="Arial" w:cs="Arial"/>
                <w:b/>
                <w:color w:val="000000"/>
              </w:rPr>
              <w:t>∆</w:t>
            </w:r>
            <w:proofErr w:type="spellStart"/>
            <w:r w:rsidRPr="00CE6C14">
              <w:rPr>
                <w:rFonts w:ascii="Arial" w:hAnsi="Arial" w:cs="Arial"/>
                <w:b/>
                <w:i/>
                <w:color w:val="000000"/>
              </w:rPr>
              <w:t>mlaA</w:t>
            </w:r>
            <w:proofErr w:type="spellEnd"/>
            <w:r w:rsidRPr="00CE6C1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proofErr w:type="gramStart"/>
            <w:r w:rsidRPr="00CE6C14">
              <w:rPr>
                <w:rFonts w:ascii="Arial" w:hAnsi="Arial" w:cs="Arial"/>
                <w:b/>
                <w:color w:val="000000"/>
              </w:rPr>
              <w:t>P</w:t>
            </w:r>
            <w:r w:rsidRPr="00CE6C14">
              <w:rPr>
                <w:rFonts w:ascii="Arial" w:hAnsi="Arial" w:cs="Arial"/>
                <w:b/>
                <w:color w:val="000000"/>
                <w:vertAlign w:val="subscript"/>
              </w:rPr>
              <w:t>lac</w:t>
            </w:r>
            <w:proofErr w:type="spellEnd"/>
            <w:r w:rsidRPr="00CE6C14">
              <w:rPr>
                <w:rFonts w:ascii="Arial" w:hAnsi="Arial" w:cs="Arial"/>
                <w:b/>
                <w:color w:val="000000"/>
              </w:rPr>
              <w:t>::</w:t>
            </w:r>
            <w:proofErr w:type="spellStart"/>
            <w:proofErr w:type="gramEnd"/>
            <w:r w:rsidRPr="00CE6C14">
              <w:rPr>
                <w:rFonts w:ascii="Arial" w:hAnsi="Arial" w:cs="Arial"/>
                <w:b/>
                <w:i/>
                <w:color w:val="000000"/>
              </w:rPr>
              <w:t>pldA</w:t>
            </w:r>
            <w:proofErr w:type="spellEnd"/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vAlign w:val="bottom"/>
          </w:tcPr>
          <w:p w14:paraId="5CAF7CEE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  <w:vAlign w:val="bottom"/>
          </w:tcPr>
          <w:p w14:paraId="535890AC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  <w:vAlign w:val="bottom"/>
          </w:tcPr>
          <w:p w14:paraId="07B30B00" w14:textId="77777777" w:rsidR="00466E06" w:rsidRPr="00CE6C14" w:rsidRDefault="00466E06" w:rsidP="008741BF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</w:rPr>
            </w:pPr>
            <w:r w:rsidRPr="00CE6C14">
              <w:rPr>
                <w:rFonts w:ascii="Arial" w:hAnsi="Arial" w:cs="Arial"/>
                <w:color w:val="000000"/>
              </w:rPr>
              <w:t>0.25</w:t>
            </w:r>
          </w:p>
        </w:tc>
      </w:tr>
    </w:tbl>
    <w:p w14:paraId="4398C61E" w14:textId="77777777" w:rsidR="00466E06" w:rsidRPr="00CE6C14" w:rsidRDefault="00466E06" w:rsidP="00466E06">
      <w:pPr>
        <w:rPr>
          <w:rFonts w:ascii="Arial" w:hAnsi="Arial" w:cs="Arial"/>
          <w:sz w:val="20"/>
          <w:szCs w:val="20"/>
        </w:rPr>
      </w:pPr>
      <w:proofErr w:type="spellStart"/>
      <w:r w:rsidRPr="00CE6C14">
        <w:rPr>
          <w:rFonts w:ascii="Arial" w:hAnsi="Arial" w:cs="Arial"/>
          <w:sz w:val="20"/>
          <w:szCs w:val="20"/>
          <w:vertAlign w:val="superscript"/>
        </w:rPr>
        <w:t>a</w:t>
      </w:r>
      <w:r w:rsidRPr="00CE6C14">
        <w:rPr>
          <w:rFonts w:ascii="Arial" w:hAnsi="Arial" w:cs="Arial"/>
          <w:sz w:val="20"/>
          <w:szCs w:val="20"/>
        </w:rPr>
        <w:t>MIC</w:t>
      </w:r>
      <w:proofErr w:type="spellEnd"/>
      <w:r w:rsidRPr="00CE6C14">
        <w:rPr>
          <w:rFonts w:ascii="Arial" w:hAnsi="Arial" w:cs="Arial"/>
          <w:sz w:val="20"/>
          <w:szCs w:val="20"/>
        </w:rPr>
        <w:t xml:space="preserve"> values are presented in µg/mL</w:t>
      </w:r>
    </w:p>
    <w:p w14:paraId="23A38DED" w14:textId="77777777" w:rsidR="00C42DE7" w:rsidRDefault="00C42DE7" w:rsidP="00C42DE7">
      <w:pPr>
        <w:spacing w:line="480" w:lineRule="auto"/>
        <w:outlineLvl w:val="0"/>
        <w:rPr>
          <w:rFonts w:ascii="Arial" w:hAnsi="Arial" w:cs="Arial"/>
          <w:b/>
          <w:color w:val="000000" w:themeColor="text1"/>
        </w:rPr>
      </w:pPr>
    </w:p>
    <w:p w14:paraId="27349BC8" w14:textId="77777777" w:rsidR="00C42DE7" w:rsidRPr="00466E06" w:rsidRDefault="00C42DE7" w:rsidP="000610F7">
      <w:pPr>
        <w:spacing w:line="480" w:lineRule="auto"/>
        <w:rPr>
          <w:rFonts w:ascii="Arial" w:hAnsi="Arial" w:cs="Arial"/>
          <w:b/>
        </w:rPr>
      </w:pPr>
    </w:p>
    <w:p w14:paraId="7EC76067" w14:textId="77777777" w:rsidR="00466E06" w:rsidRPr="00274034" w:rsidRDefault="00466E06" w:rsidP="000610F7">
      <w:pPr>
        <w:spacing w:line="480" w:lineRule="auto"/>
        <w:rPr>
          <w:rFonts w:ascii="Arial" w:hAnsi="Arial" w:cs="Arial"/>
        </w:rPr>
      </w:pPr>
    </w:p>
    <w:sectPr w:rsidR="00466E06" w:rsidRPr="00274034" w:rsidSect="00C9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E9"/>
    <w:rsid w:val="0004657D"/>
    <w:rsid w:val="000610F7"/>
    <w:rsid w:val="00071E3F"/>
    <w:rsid w:val="00081B41"/>
    <w:rsid w:val="000851F3"/>
    <w:rsid w:val="000B0E9C"/>
    <w:rsid w:val="000C3291"/>
    <w:rsid w:val="000D3D57"/>
    <w:rsid w:val="000D53F7"/>
    <w:rsid w:val="000E31B4"/>
    <w:rsid w:val="00134161"/>
    <w:rsid w:val="00191FD2"/>
    <w:rsid w:val="001B04D1"/>
    <w:rsid w:val="001B73E6"/>
    <w:rsid w:val="001E7D76"/>
    <w:rsid w:val="002447AC"/>
    <w:rsid w:val="00274034"/>
    <w:rsid w:val="00285C51"/>
    <w:rsid w:val="00295BFC"/>
    <w:rsid w:val="002C495E"/>
    <w:rsid w:val="002E7C5E"/>
    <w:rsid w:val="002F0834"/>
    <w:rsid w:val="003A702C"/>
    <w:rsid w:val="003E03FC"/>
    <w:rsid w:val="0040205F"/>
    <w:rsid w:val="00466E06"/>
    <w:rsid w:val="0047618A"/>
    <w:rsid w:val="00487015"/>
    <w:rsid w:val="00492EE9"/>
    <w:rsid w:val="004A1F26"/>
    <w:rsid w:val="004A6CEB"/>
    <w:rsid w:val="004C1286"/>
    <w:rsid w:val="004D081A"/>
    <w:rsid w:val="004E4F5B"/>
    <w:rsid w:val="004F499D"/>
    <w:rsid w:val="004F7D91"/>
    <w:rsid w:val="0051116C"/>
    <w:rsid w:val="0051417C"/>
    <w:rsid w:val="005327C2"/>
    <w:rsid w:val="0055346B"/>
    <w:rsid w:val="00587FA0"/>
    <w:rsid w:val="005922A1"/>
    <w:rsid w:val="005C757F"/>
    <w:rsid w:val="005C781D"/>
    <w:rsid w:val="005D4415"/>
    <w:rsid w:val="00602870"/>
    <w:rsid w:val="00612C4B"/>
    <w:rsid w:val="00634180"/>
    <w:rsid w:val="00667E65"/>
    <w:rsid w:val="007254EB"/>
    <w:rsid w:val="00793709"/>
    <w:rsid w:val="007F71AE"/>
    <w:rsid w:val="00806F4D"/>
    <w:rsid w:val="008130C1"/>
    <w:rsid w:val="00817DAD"/>
    <w:rsid w:val="008D4EDA"/>
    <w:rsid w:val="008F5709"/>
    <w:rsid w:val="009047C7"/>
    <w:rsid w:val="00905C1C"/>
    <w:rsid w:val="009207BE"/>
    <w:rsid w:val="009707C7"/>
    <w:rsid w:val="00990398"/>
    <w:rsid w:val="009A5990"/>
    <w:rsid w:val="009B3E8C"/>
    <w:rsid w:val="009C229F"/>
    <w:rsid w:val="00A664B7"/>
    <w:rsid w:val="00A747C2"/>
    <w:rsid w:val="00AB486D"/>
    <w:rsid w:val="00AD5F35"/>
    <w:rsid w:val="00AD73D5"/>
    <w:rsid w:val="00AF2CA9"/>
    <w:rsid w:val="00B75AB9"/>
    <w:rsid w:val="00BB762D"/>
    <w:rsid w:val="00BE01C1"/>
    <w:rsid w:val="00BE1588"/>
    <w:rsid w:val="00BF7E12"/>
    <w:rsid w:val="00C409ED"/>
    <w:rsid w:val="00C42DE7"/>
    <w:rsid w:val="00C525D2"/>
    <w:rsid w:val="00C85E1A"/>
    <w:rsid w:val="00C93037"/>
    <w:rsid w:val="00C9344F"/>
    <w:rsid w:val="00CA23CC"/>
    <w:rsid w:val="00D34F00"/>
    <w:rsid w:val="00D41ACD"/>
    <w:rsid w:val="00D763DF"/>
    <w:rsid w:val="00D91C83"/>
    <w:rsid w:val="00DC2F5E"/>
    <w:rsid w:val="00E22ECE"/>
    <w:rsid w:val="00E24FB7"/>
    <w:rsid w:val="00E44A0C"/>
    <w:rsid w:val="00E45540"/>
    <w:rsid w:val="00E93750"/>
    <w:rsid w:val="00EB13D6"/>
    <w:rsid w:val="00EE4540"/>
    <w:rsid w:val="00F06BC7"/>
    <w:rsid w:val="00F232D3"/>
    <w:rsid w:val="00F41CEA"/>
    <w:rsid w:val="00F67C47"/>
    <w:rsid w:val="00F77636"/>
    <w:rsid w:val="00FA2579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5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Baarda</dc:creator>
  <cp:keywords/>
  <dc:description/>
  <cp:lastModifiedBy>Benjamin Baarda</cp:lastModifiedBy>
  <cp:revision>2</cp:revision>
  <dcterms:created xsi:type="dcterms:W3CDTF">2019-02-21T19:11:00Z</dcterms:created>
  <dcterms:modified xsi:type="dcterms:W3CDTF">2019-02-21T19:11:00Z</dcterms:modified>
</cp:coreProperties>
</file>