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2"/>
        <w:tblpPr w:leftFromText="180" w:rightFromText="180" w:vertAnchor="text" w:horzAnchor="margin" w:tblpY="6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C3E38" w:rsidRPr="004941DA" w:rsidTr="00AC3E38">
        <w:trPr>
          <w:trHeight w:val="56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941DA">
              <w:rPr>
                <w:rFonts w:asciiTheme="minorHAnsi" w:hAnsiTheme="minorHAnsi" w:cstheme="minorHAnsi"/>
                <w:b/>
                <w:sz w:val="22"/>
                <w:szCs w:val="20"/>
              </w:rPr>
              <w:t>H</w:t>
            </w:r>
            <w:r w:rsidRPr="004941DA">
              <w:rPr>
                <w:rFonts w:asciiTheme="minorHAnsi" w:hAnsiTheme="minorHAnsi" w:cstheme="minorHAnsi"/>
                <w:b/>
                <w:vanish/>
                <w:sz w:val="22"/>
                <w:szCs w:val="20"/>
              </w:rPr>
              <w:t>H</w:t>
            </w:r>
            <w:r w:rsidRPr="004941D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SV1 </w:t>
            </w:r>
          </w:p>
          <w:p w:rsidR="00AC3E38" w:rsidRPr="004941DA" w:rsidRDefault="00AC3E38" w:rsidP="00AC3E3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b/>
                <w:sz w:val="22"/>
                <w:szCs w:val="20"/>
              </w:rPr>
              <w:t>infection</w:t>
            </w:r>
          </w:p>
        </w:tc>
        <w:tc>
          <w:tcPr>
            <w:tcW w:w="4764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941DA">
              <w:rPr>
                <w:rFonts w:asciiTheme="minorHAnsi" w:hAnsiTheme="minorHAnsi" w:cstheme="minorHAnsi"/>
                <w:b/>
                <w:szCs w:val="20"/>
              </w:rPr>
              <w:t xml:space="preserve">Comparison to </w:t>
            </w:r>
            <w:proofErr w:type="spellStart"/>
            <w:r w:rsidRPr="004941DA">
              <w:rPr>
                <w:rFonts w:asciiTheme="minorHAnsi" w:hAnsiTheme="minorHAnsi" w:cstheme="minorHAnsi"/>
                <w:b/>
                <w:szCs w:val="20"/>
              </w:rPr>
              <w:t>MEF</w:t>
            </w:r>
            <w:r w:rsidRPr="004941DA">
              <w:rPr>
                <w:rFonts w:asciiTheme="minorHAnsi" w:hAnsiTheme="minorHAnsi" w:cstheme="minorHAnsi"/>
                <w:b/>
                <w:szCs w:val="20"/>
                <w:vertAlign w:val="superscript"/>
              </w:rPr>
              <w:t>wt</w:t>
            </w:r>
            <w:proofErr w:type="spellEnd"/>
          </w:p>
        </w:tc>
        <w:tc>
          <w:tcPr>
            <w:tcW w:w="2382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941DA">
              <w:rPr>
                <w:rFonts w:asciiTheme="minorHAnsi" w:hAnsiTheme="minorHAnsi" w:cstheme="minorHAnsi"/>
                <w:b/>
                <w:szCs w:val="20"/>
              </w:rPr>
              <w:t>Comparison to</w:t>
            </w:r>
          </w:p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 w:rsidRPr="004941DA">
              <w:rPr>
                <w:rFonts w:asciiTheme="minorHAnsi" w:hAnsiTheme="minorHAnsi" w:cstheme="minorHAnsi"/>
                <w:b/>
                <w:szCs w:val="20"/>
              </w:rPr>
              <w:t>neurons</w:t>
            </w:r>
            <w:r w:rsidRPr="004941DA">
              <w:rPr>
                <w:rFonts w:asciiTheme="minorHAnsi" w:hAnsiTheme="minorHAnsi" w:cstheme="minorHAnsi"/>
                <w:b/>
                <w:szCs w:val="20"/>
                <w:vertAlign w:val="superscript"/>
              </w:rPr>
              <w:t>wt</w:t>
            </w:r>
            <w:proofErr w:type="spellEnd"/>
          </w:p>
        </w:tc>
      </w:tr>
      <w:tr w:rsidR="00AC3E38" w:rsidRPr="004941DA" w:rsidTr="00AC3E38">
        <w:trPr>
          <w:trHeight w:val="567"/>
        </w:trPr>
        <w:tc>
          <w:tcPr>
            <w:tcW w:w="20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α1</w:t>
            </w:r>
            <w:r w:rsidRPr="004941DA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-/-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α1</w:t>
            </w:r>
            <w:r w:rsidRPr="004941DA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-</w:t>
            </w: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shRNA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α3</w:t>
            </w:r>
            <w:r w:rsidRPr="004941DA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-/-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α3</w:t>
            </w:r>
          </w:p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shRNA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α4</w:t>
            </w:r>
            <w:r w:rsidRPr="004941DA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-/-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α4</w:t>
            </w:r>
          </w:p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shRNA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α1</w:t>
            </w:r>
            <w:r w:rsidRPr="004941DA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-</w:t>
            </w: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shRNA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α3</w:t>
            </w:r>
          </w:p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shRNA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α4</w:t>
            </w:r>
          </w:p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shRNA</w:t>
            </w:r>
          </w:p>
        </w:tc>
      </w:tr>
      <w:tr w:rsidR="00AC3E38" w:rsidRPr="004941DA" w:rsidTr="00AC3E38">
        <w:trPr>
          <w:trHeight w:val="510"/>
        </w:trPr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 xml:space="preserve">capsids at </w:t>
            </w:r>
          </w:p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nuclear envelope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N.D.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N.D.</w:t>
            </w:r>
          </w:p>
        </w:tc>
      </w:tr>
      <w:tr w:rsidR="00AC3E38" w:rsidRPr="004941DA" w:rsidTr="00AC3E38">
        <w:trPr>
          <w:trHeight w:val="340"/>
        </w:trPr>
        <w:tc>
          <w:tcPr>
            <w:tcW w:w="201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nuclear import of VP16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</w:tr>
      <w:tr w:rsidR="00AC3E38" w:rsidRPr="004941DA" w:rsidTr="00AC3E38">
        <w:trPr>
          <w:trHeight w:val="510"/>
        </w:trPr>
        <w:tc>
          <w:tcPr>
            <w:tcW w:w="201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 xml:space="preserve">nuclear import of </w:t>
            </w:r>
          </w:p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incoming genomes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</w:tr>
      <w:tr w:rsidR="00AC3E38" w:rsidRPr="004941DA" w:rsidTr="00AC3E38">
        <w:trPr>
          <w:trHeight w:val="510"/>
        </w:trPr>
        <w:tc>
          <w:tcPr>
            <w:tcW w:w="201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nuclear import of ICP4</w:t>
            </w:r>
          </w:p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immediate early gene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↓↓↓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</w:tr>
      <w:tr w:rsidR="00AC3E38" w:rsidRPr="004941DA" w:rsidTr="00AC3E38">
        <w:trPr>
          <w:trHeight w:val="510"/>
        </w:trPr>
        <w:tc>
          <w:tcPr>
            <w:tcW w:w="201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nuclear import of ICP0</w:t>
            </w:r>
          </w:p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immediate early gene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</w:tr>
      <w:tr w:rsidR="00AC3E38" w:rsidRPr="004941DA" w:rsidTr="00AC3E38">
        <w:trPr>
          <w:trHeight w:val="510"/>
        </w:trPr>
        <w:tc>
          <w:tcPr>
            <w:tcW w:w="201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 xml:space="preserve">nuclear import of </w:t>
            </w:r>
          </w:p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ICP8 - early gene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↑↑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</w:tr>
      <w:tr w:rsidR="00AC3E38" w:rsidRPr="004941DA" w:rsidTr="00AC3E38">
        <w:trPr>
          <w:trHeight w:val="510"/>
        </w:trPr>
        <w:tc>
          <w:tcPr>
            <w:tcW w:w="201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 xml:space="preserve">nuclear import of </w:t>
            </w:r>
          </w:p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pUL42 - early gene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↓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↑↑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</w:tr>
      <w:tr w:rsidR="00AC3E38" w:rsidRPr="004941DA" w:rsidTr="00AC3E38">
        <w:trPr>
          <w:trHeight w:val="510"/>
        </w:trPr>
        <w:tc>
          <w:tcPr>
            <w:tcW w:w="201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GFP reporter</w:t>
            </w:r>
          </w:p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gene expression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↓↓↓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↓↓↓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</w:tr>
      <w:tr w:rsidR="00AC3E38" w:rsidRPr="004941DA" w:rsidTr="00AC3E38">
        <w:trPr>
          <w:trHeight w:val="397"/>
        </w:trPr>
        <w:tc>
          <w:tcPr>
            <w:tcW w:w="201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 xml:space="preserve">nuclear capsid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protein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↑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↓↓↓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N.D.</w:t>
            </w:r>
          </w:p>
        </w:tc>
      </w:tr>
      <w:tr w:rsidR="00AC3E38" w:rsidRPr="004941DA" w:rsidTr="00AC3E38">
        <w:trPr>
          <w:trHeight w:val="397"/>
        </w:trPr>
        <w:tc>
          <w:tcPr>
            <w:tcW w:w="201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intracellular titer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delayed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</w:tr>
      <w:tr w:rsidR="00AC3E38" w:rsidRPr="004941DA" w:rsidTr="00AC3E38">
        <w:trPr>
          <w:trHeight w:val="340"/>
        </w:trPr>
        <w:tc>
          <w:tcPr>
            <w:tcW w:w="201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E38" w:rsidRPr="004941DA" w:rsidRDefault="00AC3E38" w:rsidP="00AC3E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extracellular titer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↓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delayed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941DA">
              <w:rPr>
                <w:rFonts w:asciiTheme="minorHAnsi" w:hAnsiTheme="minorHAnsi" w:cstheme="minorHAnsi"/>
                <w:sz w:val="18"/>
                <w:szCs w:val="20"/>
              </w:rPr>
              <w:t>OK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  <w:tc>
          <w:tcPr>
            <w:tcW w:w="794" w:type="dxa"/>
            <w:vAlign w:val="center"/>
          </w:tcPr>
          <w:p w:rsidR="00AC3E38" w:rsidRPr="004941DA" w:rsidRDefault="00AC3E38" w:rsidP="00AC3E3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941DA">
              <w:rPr>
                <w:rFonts w:asciiTheme="minorHAnsi" w:hAnsiTheme="minorHAnsi" w:cstheme="minorHAnsi"/>
                <w:sz w:val="16"/>
                <w:szCs w:val="20"/>
              </w:rPr>
              <w:t>N.D.</w:t>
            </w:r>
          </w:p>
        </w:tc>
      </w:tr>
    </w:tbl>
    <w:p w:rsidR="00CC7463" w:rsidRPr="00AC3E38" w:rsidRDefault="00AC3E38">
      <w:pPr>
        <w:rPr>
          <w:b/>
        </w:rPr>
      </w:pPr>
      <w:r w:rsidRPr="00AC3E38">
        <w:rPr>
          <w:b/>
        </w:rPr>
        <w:t>Supplementary Table S</w:t>
      </w:r>
      <w:r w:rsidR="00310ED4">
        <w:rPr>
          <w:b/>
        </w:rPr>
        <w:t>2</w:t>
      </w:r>
      <w:r w:rsidRPr="00AC3E38">
        <w:rPr>
          <w:b/>
        </w:rPr>
        <w:t>: Summary of HSV1 replication in MEFs and neurons.</w:t>
      </w:r>
      <w:bookmarkStart w:id="0" w:name="_GoBack"/>
      <w:bookmarkEnd w:id="0"/>
    </w:p>
    <w:sectPr w:rsidR="00CC7463" w:rsidRPr="00AC3E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8"/>
    <w:rsid w:val="0016425A"/>
    <w:rsid w:val="00310ED4"/>
    <w:rsid w:val="00693ADC"/>
    <w:rsid w:val="007834AB"/>
    <w:rsid w:val="00A74B79"/>
    <w:rsid w:val="00AB0E00"/>
    <w:rsid w:val="00AC3E38"/>
    <w:rsid w:val="00CC7463"/>
    <w:rsid w:val="00CE198A"/>
    <w:rsid w:val="00E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E38"/>
    <w:pPr>
      <w:spacing w:line="240" w:lineRule="auto"/>
    </w:pPr>
    <w:rPr>
      <w:rFonts w:ascii="Calibri" w:eastAsia="Times New Roman" w:hAnsi="Calibri" w:cs="Arial"/>
      <w:sz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AC3E38"/>
    <w:pPr>
      <w:spacing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C3E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E38"/>
    <w:pPr>
      <w:spacing w:line="240" w:lineRule="auto"/>
    </w:pPr>
    <w:rPr>
      <w:rFonts w:ascii="Calibri" w:eastAsia="Times New Roman" w:hAnsi="Calibri" w:cs="Arial"/>
      <w:sz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AC3E38"/>
    <w:pPr>
      <w:spacing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C3E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 Döhner</dc:creator>
  <cp:lastModifiedBy>Katinka Döhner</cp:lastModifiedBy>
  <cp:revision>2</cp:revision>
  <dcterms:created xsi:type="dcterms:W3CDTF">2017-12-06T15:58:00Z</dcterms:created>
  <dcterms:modified xsi:type="dcterms:W3CDTF">2017-12-13T16:00:00Z</dcterms:modified>
</cp:coreProperties>
</file>