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DA" w:rsidRPr="005F4604" w:rsidRDefault="00704ADA" w:rsidP="00704ADA">
      <w:pPr>
        <w:rPr>
          <w:rFonts w:ascii="Arial" w:hAnsi="Arial" w:cs="Arial"/>
          <w:lang w:val="en-US"/>
        </w:rPr>
      </w:pPr>
      <w:proofErr w:type="gramStart"/>
      <w:r>
        <w:rPr>
          <w:rFonts w:ascii="Arial" w:hAnsi="Arial" w:cs="Arial"/>
          <w:b/>
          <w:lang w:val="en-US"/>
        </w:rPr>
        <w:t>S</w:t>
      </w:r>
      <w:r w:rsidR="00677A35">
        <w:rPr>
          <w:rFonts w:ascii="Arial" w:hAnsi="Arial" w:cs="Arial"/>
          <w:b/>
          <w:lang w:val="en-US"/>
        </w:rPr>
        <w:t>1</w:t>
      </w:r>
      <w:r w:rsidRPr="00463C78">
        <w:rPr>
          <w:rFonts w:ascii="Arial" w:hAnsi="Arial" w:cs="Arial"/>
          <w:b/>
          <w:lang w:val="en-US"/>
        </w:rPr>
        <w:t xml:space="preserve"> </w:t>
      </w:r>
      <w:r>
        <w:rPr>
          <w:rFonts w:ascii="Arial" w:hAnsi="Arial" w:cs="Arial"/>
          <w:b/>
          <w:lang w:val="en-US"/>
        </w:rPr>
        <w:t>Table.</w:t>
      </w:r>
      <w:proofErr w:type="gramEnd"/>
      <w:r>
        <w:rPr>
          <w:rFonts w:ascii="Arial" w:hAnsi="Arial" w:cs="Arial"/>
          <w:b/>
          <w:lang w:val="en-US"/>
        </w:rPr>
        <w:t xml:space="preserve"> </w:t>
      </w:r>
      <w:proofErr w:type="gramStart"/>
      <w:r w:rsidRPr="005F4604">
        <w:rPr>
          <w:rFonts w:ascii="Arial" w:hAnsi="Arial" w:cs="Arial"/>
          <w:lang w:val="en-US"/>
        </w:rPr>
        <w:t>Related to experimental procedures.</w:t>
      </w:r>
      <w:proofErr w:type="gramEnd"/>
      <w:r w:rsidRPr="005F4604">
        <w:rPr>
          <w:rFonts w:ascii="Arial" w:hAnsi="Arial" w:cs="Arial"/>
          <w:lang w:val="en-US"/>
        </w:rPr>
        <w:t xml:space="preserve"> </w:t>
      </w:r>
      <w:proofErr w:type="spellStart"/>
      <w:r w:rsidRPr="005F4604">
        <w:rPr>
          <w:rFonts w:ascii="Arial" w:hAnsi="Arial" w:cs="Arial"/>
          <w:lang w:val="en-US"/>
        </w:rPr>
        <w:t>Morpholinos</w:t>
      </w:r>
      <w:proofErr w:type="spellEnd"/>
      <w:r w:rsidRPr="005F4604">
        <w:rPr>
          <w:rFonts w:ascii="Arial" w:hAnsi="Arial" w:cs="Arial"/>
          <w:lang w:val="en-US"/>
        </w:rPr>
        <w:t xml:space="preserve"> used in this study</w:t>
      </w:r>
    </w:p>
    <w:tbl>
      <w:tblPr>
        <w:tblStyle w:val="LightList-Accent1"/>
        <w:tblW w:w="9322" w:type="dxa"/>
        <w:tblLayout w:type="fixed"/>
        <w:tblLook w:val="04A0" w:firstRow="1" w:lastRow="0" w:firstColumn="1" w:lastColumn="0" w:noHBand="0" w:noVBand="1"/>
      </w:tblPr>
      <w:tblGrid>
        <w:gridCol w:w="993"/>
        <w:gridCol w:w="1372"/>
        <w:gridCol w:w="1287"/>
        <w:gridCol w:w="2444"/>
        <w:gridCol w:w="947"/>
        <w:gridCol w:w="1003"/>
        <w:gridCol w:w="1276"/>
      </w:tblGrid>
      <w:tr w:rsidR="00704ADA" w:rsidRPr="00527BC5" w:rsidTr="00124A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left w:val="single" w:sz="4" w:space="0" w:color="FFFFFF" w:themeColor="background1"/>
              <w:right w:val="single" w:sz="4" w:space="0" w:color="B8CCE4" w:themeColor="accent1" w:themeTint="66"/>
            </w:tcBorders>
            <w:shd w:val="clear" w:color="auto" w:fill="B8CCE4" w:themeFill="accent1" w:themeFillTint="66"/>
          </w:tcPr>
          <w:p w:rsidR="00704ADA" w:rsidRPr="00527BC5" w:rsidRDefault="00704ADA" w:rsidP="00124A6C">
            <w:pPr>
              <w:rPr>
                <w:rFonts w:ascii="Arial" w:eastAsia="Times New Roman" w:hAnsi="Arial" w:cs="Arial"/>
                <w:b w:val="0"/>
                <w:bCs w:val="0"/>
                <w:color w:val="000000"/>
                <w:sz w:val="20"/>
                <w:szCs w:val="20"/>
                <w:lang w:val="en-US" w:eastAsia="en-GB"/>
              </w:rPr>
            </w:pPr>
            <w:r w:rsidRPr="00527BC5">
              <w:rPr>
                <w:rFonts w:ascii="Arial" w:eastAsia="Times New Roman" w:hAnsi="Arial" w:cs="Arial"/>
                <w:color w:val="000000"/>
                <w:sz w:val="20"/>
                <w:szCs w:val="20"/>
                <w:lang w:val="en-US" w:eastAsia="en-GB"/>
              </w:rPr>
              <w:t>Gene</w:t>
            </w:r>
          </w:p>
          <w:p w:rsidR="00704ADA" w:rsidRPr="00527BC5" w:rsidRDefault="00704ADA" w:rsidP="00124A6C">
            <w:pPr>
              <w:rPr>
                <w:rFonts w:ascii="Arial" w:eastAsia="Times New Roman" w:hAnsi="Arial" w:cs="Arial"/>
                <w:color w:val="000000"/>
                <w:sz w:val="20"/>
                <w:szCs w:val="20"/>
                <w:lang w:val="en-US" w:eastAsia="en-GB"/>
              </w:rPr>
            </w:pPr>
          </w:p>
        </w:tc>
        <w:tc>
          <w:tcPr>
            <w:tcW w:w="1372" w:type="dxa"/>
            <w:tcBorders>
              <w:right w:val="single" w:sz="4" w:space="0" w:color="B8CCE4" w:themeColor="accent1" w:themeTint="66"/>
            </w:tcBorders>
            <w:shd w:val="clear" w:color="auto" w:fill="B8CCE4" w:themeFill="accent1" w:themeFillTint="66"/>
          </w:tcPr>
          <w:p w:rsidR="00704ADA" w:rsidRPr="00527BC5" w:rsidRDefault="00704ADA" w:rsidP="00124A6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r w:rsidRPr="00527BC5">
              <w:rPr>
                <w:rFonts w:ascii="Arial" w:eastAsia="Times New Roman" w:hAnsi="Arial" w:cs="Arial"/>
                <w:color w:val="000000"/>
                <w:sz w:val="20"/>
                <w:szCs w:val="20"/>
                <w:lang w:val="en-US" w:eastAsia="en-GB"/>
              </w:rPr>
              <w:t>Accession #</w:t>
            </w:r>
          </w:p>
        </w:tc>
        <w:tc>
          <w:tcPr>
            <w:tcW w:w="1287" w:type="dxa"/>
            <w:tcBorders>
              <w:left w:val="single" w:sz="4" w:space="0" w:color="B8CCE4" w:themeColor="accent1" w:themeTint="66"/>
            </w:tcBorders>
            <w:shd w:val="clear" w:color="auto" w:fill="B8CCE4" w:themeFill="accent1" w:themeFillTint="66"/>
          </w:tcPr>
          <w:p w:rsidR="00704ADA" w:rsidRPr="00527BC5" w:rsidRDefault="00704ADA" w:rsidP="00124A6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n-US" w:eastAsia="en-GB"/>
              </w:rPr>
            </w:pPr>
            <w:r w:rsidRPr="00527BC5">
              <w:rPr>
                <w:rFonts w:ascii="Arial" w:eastAsia="Times New Roman" w:hAnsi="Arial" w:cs="Arial"/>
                <w:color w:val="000000"/>
                <w:sz w:val="20"/>
                <w:szCs w:val="20"/>
                <w:lang w:val="en-US" w:eastAsia="en-GB"/>
              </w:rPr>
              <w:t>Name</w:t>
            </w:r>
          </w:p>
        </w:tc>
        <w:tc>
          <w:tcPr>
            <w:tcW w:w="2444" w:type="dxa"/>
            <w:shd w:val="clear" w:color="auto" w:fill="B8CCE4" w:themeFill="accent1" w:themeFillTint="66"/>
          </w:tcPr>
          <w:p w:rsidR="00704ADA" w:rsidRPr="00527BC5" w:rsidRDefault="00704ADA" w:rsidP="00124A6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r w:rsidRPr="00527BC5">
              <w:rPr>
                <w:rFonts w:ascii="Arial" w:eastAsia="Times New Roman" w:hAnsi="Arial" w:cs="Arial"/>
                <w:color w:val="000000"/>
                <w:sz w:val="20"/>
                <w:szCs w:val="20"/>
                <w:lang w:val="en-US" w:eastAsia="en-GB"/>
              </w:rPr>
              <w:t>Sequence</w:t>
            </w:r>
          </w:p>
        </w:tc>
        <w:tc>
          <w:tcPr>
            <w:tcW w:w="947" w:type="dxa"/>
            <w:shd w:val="clear" w:color="auto" w:fill="B8CCE4" w:themeFill="accent1" w:themeFillTint="66"/>
          </w:tcPr>
          <w:p w:rsidR="00704ADA" w:rsidRPr="00527BC5" w:rsidRDefault="00704ADA" w:rsidP="00124A6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proofErr w:type="spellStart"/>
            <w:r w:rsidRPr="00527BC5">
              <w:rPr>
                <w:rFonts w:ascii="Arial" w:eastAsia="Times New Roman" w:hAnsi="Arial" w:cs="Arial"/>
                <w:color w:val="000000"/>
                <w:sz w:val="20"/>
                <w:szCs w:val="20"/>
                <w:lang w:val="en-US" w:eastAsia="en-GB"/>
              </w:rPr>
              <w:t>Target</w:t>
            </w:r>
            <w:r w:rsidRPr="00527BC5">
              <w:rPr>
                <w:rFonts w:ascii="Arial" w:eastAsia="Times New Roman" w:hAnsi="Arial" w:cs="Arial"/>
                <w:color w:val="000000"/>
                <w:sz w:val="20"/>
                <w:szCs w:val="20"/>
                <w:vertAlign w:val="superscript"/>
                <w:lang w:val="en-US" w:eastAsia="en-GB"/>
              </w:rPr>
              <w:t>a</w:t>
            </w:r>
            <w:proofErr w:type="spellEnd"/>
          </w:p>
        </w:tc>
        <w:tc>
          <w:tcPr>
            <w:tcW w:w="1003" w:type="dxa"/>
            <w:shd w:val="clear" w:color="auto" w:fill="B8CCE4" w:themeFill="accent1" w:themeFillTint="66"/>
          </w:tcPr>
          <w:p w:rsidR="00704ADA" w:rsidRPr="00527BC5" w:rsidRDefault="00704ADA" w:rsidP="00124A6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r w:rsidRPr="00527BC5">
              <w:rPr>
                <w:rFonts w:ascii="Arial" w:eastAsia="Times New Roman" w:hAnsi="Arial" w:cs="Arial"/>
                <w:color w:val="000000"/>
                <w:sz w:val="20"/>
                <w:szCs w:val="20"/>
                <w:lang w:val="en-US" w:eastAsia="en-GB"/>
              </w:rPr>
              <w:t>[   ]</w:t>
            </w:r>
          </w:p>
          <w:p w:rsidR="00704ADA" w:rsidRPr="00527BC5" w:rsidRDefault="00704ADA" w:rsidP="00124A6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r w:rsidRPr="00527BC5">
              <w:rPr>
                <w:rFonts w:ascii="Arial" w:eastAsia="Times New Roman" w:hAnsi="Arial" w:cs="Arial"/>
                <w:color w:val="000000"/>
                <w:sz w:val="20"/>
                <w:szCs w:val="20"/>
                <w:lang w:val="en-US" w:eastAsia="en-GB"/>
              </w:rPr>
              <w:t xml:space="preserve"> (</w:t>
            </w:r>
            <w:proofErr w:type="spellStart"/>
            <w:r w:rsidRPr="00527BC5">
              <w:rPr>
                <w:rFonts w:ascii="Arial" w:eastAsia="Times New Roman" w:hAnsi="Arial" w:cs="Arial"/>
                <w:color w:val="000000"/>
                <w:sz w:val="20"/>
                <w:szCs w:val="20"/>
                <w:lang w:val="en-US" w:eastAsia="en-GB"/>
              </w:rPr>
              <w:t>mM</w:t>
            </w:r>
            <w:proofErr w:type="spellEnd"/>
            <w:r w:rsidRPr="00527BC5">
              <w:rPr>
                <w:rFonts w:ascii="Arial" w:eastAsia="Times New Roman" w:hAnsi="Arial" w:cs="Arial"/>
                <w:color w:val="000000"/>
                <w:sz w:val="20"/>
                <w:szCs w:val="20"/>
                <w:lang w:val="en-US" w:eastAsia="en-GB"/>
              </w:rPr>
              <w:t>)</w:t>
            </w:r>
            <w:r w:rsidRPr="00527BC5">
              <w:rPr>
                <w:rFonts w:ascii="Arial" w:eastAsia="Times New Roman" w:hAnsi="Arial" w:cs="Arial"/>
                <w:color w:val="000000"/>
                <w:sz w:val="20"/>
                <w:szCs w:val="20"/>
                <w:vertAlign w:val="superscript"/>
                <w:lang w:val="en-US" w:eastAsia="en-GB"/>
              </w:rPr>
              <w:t xml:space="preserve"> b</w:t>
            </w:r>
          </w:p>
        </w:tc>
        <w:tc>
          <w:tcPr>
            <w:tcW w:w="1276" w:type="dxa"/>
            <w:tcBorders>
              <w:bottom w:val="single" w:sz="8" w:space="0" w:color="4F81BD" w:themeColor="accent1"/>
              <w:right w:val="single" w:sz="4" w:space="0" w:color="FFFFFF" w:themeColor="background1"/>
            </w:tcBorders>
            <w:shd w:val="clear" w:color="auto" w:fill="B8CCE4" w:themeFill="accent1" w:themeFillTint="66"/>
          </w:tcPr>
          <w:p w:rsidR="00704ADA" w:rsidRPr="00527BC5" w:rsidRDefault="00704ADA" w:rsidP="00124A6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r w:rsidRPr="00527BC5">
              <w:rPr>
                <w:rFonts w:ascii="Arial" w:eastAsia="Times New Roman" w:hAnsi="Arial" w:cs="Arial"/>
                <w:color w:val="000000"/>
                <w:sz w:val="20"/>
                <w:szCs w:val="20"/>
                <w:shd w:val="clear" w:color="auto" w:fill="B8CCE4" w:themeFill="accent1" w:themeFillTint="66"/>
                <w:lang w:val="en-US" w:eastAsia="en-GB"/>
              </w:rPr>
              <w:t>Referen</w:t>
            </w:r>
            <w:r w:rsidRPr="00527BC5">
              <w:rPr>
                <w:rFonts w:ascii="Arial" w:eastAsia="Times New Roman" w:hAnsi="Arial" w:cs="Arial"/>
                <w:color w:val="000000"/>
                <w:sz w:val="20"/>
                <w:szCs w:val="20"/>
                <w:lang w:val="en-US" w:eastAsia="en-GB"/>
              </w:rPr>
              <w:t>ce</w:t>
            </w:r>
          </w:p>
        </w:tc>
      </w:tr>
      <w:tr w:rsidR="00704ADA" w:rsidRPr="00527BC5" w:rsidTr="00124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FFFFFF" w:themeColor="background1"/>
              <w:right w:val="single" w:sz="4" w:space="0" w:color="FFFFFF" w:themeColor="background1"/>
            </w:tcBorders>
            <w:shd w:val="clear" w:color="auto" w:fill="FFFFFF" w:themeFill="background1"/>
          </w:tcPr>
          <w:p w:rsidR="00704ADA" w:rsidRPr="00527BC5" w:rsidRDefault="00704ADA" w:rsidP="00124A6C">
            <w:pPr>
              <w:rPr>
                <w:rFonts w:ascii="Arial" w:eastAsia="Times New Roman" w:hAnsi="Arial" w:cs="Arial"/>
                <w:b w:val="0"/>
                <w:bCs w:val="0"/>
                <w:i/>
                <w:iCs/>
                <w:color w:val="000000"/>
                <w:sz w:val="20"/>
                <w:szCs w:val="20"/>
                <w:lang w:val="en-US" w:eastAsia="en-GB"/>
              </w:rPr>
            </w:pPr>
            <w:r w:rsidRPr="00527BC5">
              <w:rPr>
                <w:rFonts w:ascii="Arial" w:eastAsia="Times New Roman" w:hAnsi="Arial" w:cs="Arial"/>
                <w:i/>
                <w:iCs/>
                <w:color w:val="000000"/>
                <w:sz w:val="20"/>
                <w:szCs w:val="20"/>
                <w:lang w:val="en-US" w:eastAsia="en-GB"/>
              </w:rPr>
              <w:t>pu.1 (spi1)</w:t>
            </w:r>
          </w:p>
          <w:p w:rsidR="00704ADA" w:rsidRPr="00527BC5" w:rsidRDefault="00704ADA" w:rsidP="00124A6C">
            <w:pPr>
              <w:rPr>
                <w:rFonts w:ascii="Arial" w:eastAsia="Times New Roman" w:hAnsi="Arial" w:cs="Arial"/>
                <w:color w:val="000000"/>
                <w:sz w:val="20"/>
                <w:szCs w:val="20"/>
                <w:lang w:val="en-US" w:eastAsia="en-GB"/>
              </w:rPr>
            </w:pPr>
          </w:p>
        </w:tc>
        <w:tc>
          <w:tcPr>
            <w:tcW w:w="1372" w:type="dxa"/>
            <w:vMerge w:val="restart"/>
            <w:shd w:val="clear" w:color="auto" w:fill="FFFFFF" w:themeFill="background1"/>
          </w:tcPr>
          <w:p w:rsidR="00704ADA" w:rsidRPr="00527BC5" w:rsidRDefault="00704ADA" w:rsidP="00124A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eastAsia="en-GB"/>
              </w:rPr>
            </w:pPr>
            <w:r w:rsidRPr="00527BC5">
              <w:rPr>
                <w:rFonts w:ascii="Arial" w:eastAsia="Times New Roman" w:hAnsi="Arial" w:cs="Arial"/>
                <w:color w:val="000000"/>
                <w:sz w:val="20"/>
                <w:szCs w:val="20"/>
                <w:lang w:val="en-US" w:eastAsia="en-GB"/>
              </w:rPr>
              <w:t>ENSDARG00000000767</w:t>
            </w:r>
          </w:p>
        </w:tc>
        <w:tc>
          <w:tcPr>
            <w:tcW w:w="1287" w:type="dxa"/>
          </w:tcPr>
          <w:p w:rsidR="00704ADA" w:rsidRPr="00527BC5" w:rsidRDefault="00704ADA" w:rsidP="00124A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eastAsia="en-GB"/>
              </w:rPr>
            </w:pPr>
            <w:r w:rsidRPr="00527BC5">
              <w:rPr>
                <w:rFonts w:ascii="Arial" w:eastAsia="Times New Roman" w:hAnsi="Arial" w:cs="Arial"/>
                <w:color w:val="000000"/>
                <w:sz w:val="20"/>
                <w:szCs w:val="20"/>
                <w:lang w:val="en-US" w:eastAsia="en-GB"/>
              </w:rPr>
              <w:t>tMO_pu.1</w:t>
            </w:r>
          </w:p>
        </w:tc>
        <w:tc>
          <w:tcPr>
            <w:tcW w:w="2444" w:type="dxa"/>
            <w:vAlign w:val="center"/>
          </w:tcPr>
          <w:p w:rsidR="00704ADA" w:rsidRPr="00527BC5" w:rsidRDefault="00704ADA" w:rsidP="00124A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eastAsia="en-GB"/>
              </w:rPr>
            </w:pPr>
            <w:r w:rsidRPr="00527BC5">
              <w:rPr>
                <w:rFonts w:ascii="Arial" w:eastAsia="Times New Roman" w:hAnsi="Arial" w:cs="Arial"/>
                <w:color w:val="000000"/>
                <w:sz w:val="20"/>
                <w:szCs w:val="20"/>
                <w:lang w:val="en-US" w:eastAsia="en-GB"/>
              </w:rPr>
              <w:t>5'-CCTCCATTCTGTACGGATGCAGCAT-3'</w:t>
            </w:r>
          </w:p>
        </w:tc>
        <w:tc>
          <w:tcPr>
            <w:tcW w:w="947" w:type="dxa"/>
          </w:tcPr>
          <w:p w:rsidR="00704ADA" w:rsidRPr="00527BC5" w:rsidRDefault="00704ADA" w:rsidP="00124A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eastAsia="en-GB"/>
              </w:rPr>
            </w:pPr>
            <w:proofErr w:type="spellStart"/>
            <w:r w:rsidRPr="00527BC5">
              <w:rPr>
                <w:rFonts w:ascii="Arial" w:eastAsia="Times New Roman" w:hAnsi="Arial" w:cs="Arial"/>
                <w:color w:val="000000"/>
                <w:sz w:val="20"/>
                <w:szCs w:val="20"/>
                <w:lang w:val="en-US" w:eastAsia="en-GB"/>
              </w:rPr>
              <w:t>Atg</w:t>
            </w:r>
            <w:proofErr w:type="spellEnd"/>
            <w:r w:rsidRPr="00527BC5">
              <w:rPr>
                <w:rFonts w:ascii="Arial" w:eastAsia="Times New Roman" w:hAnsi="Arial" w:cs="Arial"/>
                <w:color w:val="000000"/>
                <w:sz w:val="20"/>
                <w:szCs w:val="20"/>
                <w:lang w:val="en-US" w:eastAsia="en-GB"/>
              </w:rPr>
              <w:t>/ 5'UTR</w:t>
            </w:r>
          </w:p>
        </w:tc>
        <w:tc>
          <w:tcPr>
            <w:tcW w:w="1003" w:type="dxa"/>
          </w:tcPr>
          <w:p w:rsidR="00704ADA" w:rsidRPr="00527BC5" w:rsidRDefault="00704ADA" w:rsidP="00124A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eastAsia="en-GB"/>
              </w:rPr>
            </w:pPr>
            <w:r w:rsidRPr="00527BC5">
              <w:rPr>
                <w:rFonts w:ascii="Arial" w:eastAsia="Times New Roman" w:hAnsi="Arial" w:cs="Arial"/>
                <w:color w:val="000000"/>
                <w:sz w:val="20"/>
                <w:szCs w:val="20"/>
                <w:lang w:val="en-US" w:eastAsia="en-GB"/>
              </w:rPr>
              <w:t>0,1</w:t>
            </w:r>
          </w:p>
        </w:tc>
        <w:tc>
          <w:tcPr>
            <w:tcW w:w="1276" w:type="dxa"/>
            <w:vMerge w:val="restart"/>
            <w:tcBorders>
              <w:right w:val="single" w:sz="4" w:space="0" w:color="FFFFFF" w:themeColor="background1"/>
            </w:tcBorders>
            <w:vAlign w:val="center"/>
          </w:tcPr>
          <w:p w:rsidR="00704ADA" w:rsidRPr="00527BC5" w:rsidRDefault="00704ADA" w:rsidP="00DB3EC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fldChar w:fldCharType="begin" w:fldLock="1"/>
            </w:r>
            <w:r w:rsidR="00D61F98">
              <w:rPr>
                <w:rFonts w:ascii="Arial" w:eastAsia="Times New Roman" w:hAnsi="Arial" w:cs="Arial"/>
                <w:color w:val="000000"/>
                <w:sz w:val="20"/>
                <w:szCs w:val="20"/>
                <w:lang w:val="en-US" w:eastAsia="en-GB"/>
              </w:rPr>
              <w:instrText>ADDIN CSL_CITATION { "citationItems" : [ { "id" : "ITEM-1", "itemData" : { "DOI" : "10.1016/j.chom.2007.06.004", "ISSN" : "1934-6069", "PMID" : "18005715", "abstract" : "In tuberculosis, infecting mycobacteria are phagocytosed by macrophages, which then migrate into deeper tissue and recruit additional cells to form the granulomas that eventually contain infection. Mycobacteria are exquisitely adapted macrophage pathogens, and observations in the mouse model of tuberculosis have suggested that mycobacterial growth is not inhibited in macrophages until adaptive immunity is induced. Using the optically transparent and genetically tractable zebrafish embryo-Mycobacterium marinum model of tuberculosis, we have directly examined early infection in the presence and absence of macrophages. The absence of macrophages led rapidly to higher bacterial burdens, suggesting that macrophages control infection early and are not an optimal growth niche. However, we show that macrophages play a critical role in tissue dissemination of mycobacteria. We propose that residence within macrophages represents an evolutionary trade-off for pathogenic mycobacteria that slows their early growth but provides a mechanism for tissue dissemination.", "author" : [ { "dropping-particle" : "", "family" : "Clay", "given" : "Hilary", "non-dropping-particle" : "", "parse-names" : false, "suffix" : "" }, { "dropping-particle" : "", "family" : "Davis", "given" : "J Muse", "non-dropping-particle" : "", "parse-names" : false, "suffix" : "" }, { "dropping-particle" : "", "family" : "Beery", "given" : "Dana", "non-dropping-particle" : "", "parse-names" : false, "suffix" : "" }, { "dropping-particle" : "", "family" : "Huttenlocher", "given" : "Anna", "non-dropping-particle" : "", "parse-names" : false, "suffix" : "" }, { "dropping-particle" : "", "family" : "Lyons", "given" : "Susan E", "non-dropping-particle" : "", "parse-names" : false, "suffix" : "" }, { "dropping-particle" : "", "family" : "Ramakrishnan", "given" : "Lalita", "non-dropping-particle" : "", "parse-names" : false, "suffix" : "" } ], "container-title" : "Cell host &amp; microbe", "id" : "ITEM-1", "issue" : "1", "issued" : { "date-parts" : [ [ "2007", "7", "12" ] ] }, "page" : "29-39", "title" : "Dichotomous role of the macrophage in early Mycobacterium marinum infection of the zebrafish.", "type" : "article-journal", "volume" : "2" }, "uris" : [ "http://www.mendeley.com/documents/?uuid=74c67fd3-62f0-48e9-98c6-bb7410de2197" ] } ], "mendeley" : { "formattedCitation" : "(1)", "plainTextFormattedCitation" : "(1)", "previouslyFormattedCitation" : "(Clay et al., 2007)" }, "properties" : { "noteIndex" : 0 }, "schema" : "https://github.com/citation-style-language/schema/raw/master/csl-citation.json" }</w:instrText>
            </w:r>
            <w:r>
              <w:rPr>
                <w:rFonts w:ascii="Arial" w:eastAsia="Times New Roman" w:hAnsi="Arial" w:cs="Arial"/>
                <w:color w:val="000000"/>
                <w:sz w:val="20"/>
                <w:szCs w:val="20"/>
                <w:lang w:val="en-US" w:eastAsia="en-GB"/>
              </w:rPr>
              <w:fldChar w:fldCharType="separate"/>
            </w:r>
            <w:r w:rsidR="00DB3ECC">
              <w:rPr>
                <w:rFonts w:ascii="Arial" w:eastAsia="Times New Roman" w:hAnsi="Arial" w:cs="Arial"/>
                <w:noProof/>
                <w:color w:val="000000"/>
                <w:sz w:val="20"/>
                <w:szCs w:val="20"/>
                <w:lang w:val="en-US" w:eastAsia="en-GB"/>
              </w:rPr>
              <w:t>[</w:t>
            </w:r>
            <w:r w:rsidR="00D61F98" w:rsidRPr="00D61F98">
              <w:rPr>
                <w:rFonts w:ascii="Arial" w:eastAsia="Times New Roman" w:hAnsi="Arial" w:cs="Arial"/>
                <w:noProof/>
                <w:color w:val="000000"/>
                <w:sz w:val="20"/>
                <w:szCs w:val="20"/>
                <w:lang w:val="en-US" w:eastAsia="en-GB"/>
              </w:rPr>
              <w:t>1</w:t>
            </w:r>
            <w:r>
              <w:rPr>
                <w:rFonts w:ascii="Arial" w:eastAsia="Times New Roman" w:hAnsi="Arial" w:cs="Arial"/>
                <w:color w:val="000000"/>
                <w:sz w:val="20"/>
                <w:szCs w:val="20"/>
                <w:lang w:val="en-US" w:eastAsia="en-GB"/>
              </w:rPr>
              <w:fldChar w:fldCharType="end"/>
            </w:r>
            <w:r w:rsidR="00DB3ECC">
              <w:rPr>
                <w:rFonts w:ascii="Arial" w:eastAsia="Times New Roman" w:hAnsi="Arial" w:cs="Arial"/>
                <w:color w:val="000000"/>
                <w:sz w:val="20"/>
                <w:szCs w:val="20"/>
                <w:lang w:val="en-US" w:eastAsia="en-GB"/>
              </w:rPr>
              <w:t>]</w:t>
            </w:r>
          </w:p>
        </w:tc>
      </w:tr>
      <w:tr w:rsidR="00704ADA" w:rsidRPr="00527BC5" w:rsidTr="00124A6C">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FFFFFF" w:themeColor="background1"/>
              <w:right w:val="single" w:sz="4" w:space="0" w:color="FFFFFF" w:themeColor="background1"/>
            </w:tcBorders>
            <w:shd w:val="clear" w:color="auto" w:fill="FFFFFF" w:themeFill="background1"/>
          </w:tcPr>
          <w:p w:rsidR="00704ADA" w:rsidRPr="00527BC5" w:rsidRDefault="00704ADA" w:rsidP="00124A6C">
            <w:pPr>
              <w:rPr>
                <w:rFonts w:ascii="Arial" w:eastAsia="Times New Roman" w:hAnsi="Arial" w:cs="Arial"/>
                <w:color w:val="000000"/>
                <w:sz w:val="20"/>
                <w:szCs w:val="20"/>
                <w:lang w:val="en-US" w:eastAsia="en-GB"/>
              </w:rPr>
            </w:pPr>
          </w:p>
        </w:tc>
        <w:tc>
          <w:tcPr>
            <w:tcW w:w="1372" w:type="dxa"/>
            <w:vMerge/>
            <w:shd w:val="clear" w:color="auto" w:fill="FFFFFF" w:themeFill="background1"/>
          </w:tcPr>
          <w:p w:rsidR="00704ADA" w:rsidRPr="00527BC5" w:rsidRDefault="00704ADA" w:rsidP="00124A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p>
        </w:tc>
        <w:tc>
          <w:tcPr>
            <w:tcW w:w="1287" w:type="dxa"/>
          </w:tcPr>
          <w:p w:rsidR="00704ADA" w:rsidRPr="00527BC5" w:rsidRDefault="00704ADA" w:rsidP="00124A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eastAsia="en-GB"/>
              </w:rPr>
            </w:pPr>
            <w:r w:rsidRPr="00527BC5">
              <w:rPr>
                <w:rFonts w:ascii="Arial" w:eastAsia="Times New Roman" w:hAnsi="Arial" w:cs="Arial"/>
                <w:color w:val="000000"/>
                <w:sz w:val="20"/>
                <w:szCs w:val="20"/>
                <w:lang w:val="en-US" w:eastAsia="en-GB"/>
              </w:rPr>
              <w:t>sMO_E4I5_pu.1</w:t>
            </w:r>
          </w:p>
        </w:tc>
        <w:tc>
          <w:tcPr>
            <w:tcW w:w="2444" w:type="dxa"/>
            <w:vAlign w:val="bottom"/>
          </w:tcPr>
          <w:p w:rsidR="00704ADA" w:rsidRPr="00527BC5" w:rsidRDefault="00704ADA" w:rsidP="00124A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r w:rsidRPr="00527BC5">
              <w:rPr>
                <w:rFonts w:ascii="Arial" w:eastAsia="Times New Roman" w:hAnsi="Arial" w:cs="Arial"/>
                <w:color w:val="000000"/>
                <w:sz w:val="20"/>
                <w:szCs w:val="20"/>
                <w:lang w:val="en-US" w:eastAsia="en-GB"/>
              </w:rPr>
              <w:t>5'-GGTCTTTCTCCTTACCATGCTCTCC-3'</w:t>
            </w:r>
          </w:p>
        </w:tc>
        <w:tc>
          <w:tcPr>
            <w:tcW w:w="947" w:type="dxa"/>
          </w:tcPr>
          <w:p w:rsidR="00704ADA" w:rsidRPr="00527BC5" w:rsidRDefault="00704ADA" w:rsidP="00124A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r w:rsidRPr="00527BC5">
              <w:rPr>
                <w:rFonts w:ascii="Arial" w:eastAsia="Times New Roman" w:hAnsi="Arial" w:cs="Arial"/>
                <w:color w:val="000000"/>
                <w:sz w:val="20"/>
                <w:szCs w:val="20"/>
                <w:lang w:val="en-US" w:eastAsia="en-GB"/>
              </w:rPr>
              <w:t>E4-I4</w:t>
            </w:r>
          </w:p>
        </w:tc>
        <w:tc>
          <w:tcPr>
            <w:tcW w:w="1003" w:type="dxa"/>
          </w:tcPr>
          <w:p w:rsidR="00704ADA" w:rsidRPr="00527BC5" w:rsidRDefault="00704ADA" w:rsidP="00124A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r w:rsidRPr="00527BC5">
              <w:rPr>
                <w:rFonts w:ascii="Arial" w:eastAsia="Times New Roman" w:hAnsi="Arial" w:cs="Arial"/>
                <w:color w:val="000000"/>
                <w:sz w:val="20"/>
                <w:szCs w:val="20"/>
                <w:lang w:val="en-US" w:eastAsia="en-GB"/>
              </w:rPr>
              <w:t>0,38</w:t>
            </w:r>
          </w:p>
        </w:tc>
        <w:tc>
          <w:tcPr>
            <w:tcW w:w="1276" w:type="dxa"/>
            <w:vMerge/>
            <w:tcBorders>
              <w:top w:val="single" w:sz="8" w:space="0" w:color="4F81BD" w:themeColor="accent1"/>
              <w:bottom w:val="single" w:sz="8" w:space="0" w:color="4F81BD" w:themeColor="accent1"/>
              <w:right w:val="single" w:sz="4" w:space="0" w:color="FFFFFF" w:themeColor="background1"/>
            </w:tcBorders>
            <w:vAlign w:val="center"/>
          </w:tcPr>
          <w:p w:rsidR="00704ADA" w:rsidRPr="00527BC5" w:rsidRDefault="00704ADA" w:rsidP="00124A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p>
        </w:tc>
      </w:tr>
      <w:tr w:rsidR="00704ADA" w:rsidRPr="00527BC5" w:rsidTr="00124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left w:val="single" w:sz="4" w:space="0" w:color="FFFFFF" w:themeColor="background1"/>
              <w:right w:val="single" w:sz="4" w:space="0" w:color="FFFFFF" w:themeColor="background1"/>
            </w:tcBorders>
          </w:tcPr>
          <w:p w:rsidR="00704ADA" w:rsidRPr="00527BC5" w:rsidRDefault="00704ADA" w:rsidP="00124A6C">
            <w:pPr>
              <w:rPr>
                <w:rFonts w:ascii="Arial" w:eastAsia="Times New Roman" w:hAnsi="Arial" w:cs="Arial"/>
                <w:b w:val="0"/>
                <w:bCs w:val="0"/>
                <w:i/>
                <w:iCs/>
                <w:color w:val="000000"/>
                <w:sz w:val="20"/>
                <w:szCs w:val="20"/>
                <w:lang w:val="en-US" w:eastAsia="en-GB"/>
              </w:rPr>
            </w:pPr>
            <w:proofErr w:type="spellStart"/>
            <w:r w:rsidRPr="00527BC5">
              <w:rPr>
                <w:rFonts w:ascii="Arial" w:eastAsia="Times New Roman" w:hAnsi="Arial" w:cs="Arial"/>
                <w:i/>
                <w:iCs/>
                <w:color w:val="000000"/>
                <w:sz w:val="20"/>
                <w:szCs w:val="20"/>
                <w:lang w:val="en-US" w:eastAsia="en-GB"/>
              </w:rPr>
              <w:t>cybb</w:t>
            </w:r>
            <w:proofErr w:type="spellEnd"/>
            <w:r w:rsidRPr="00527BC5">
              <w:rPr>
                <w:rFonts w:ascii="Arial" w:eastAsia="Times New Roman" w:hAnsi="Arial" w:cs="Arial"/>
                <w:i/>
                <w:iCs/>
                <w:color w:val="000000"/>
                <w:sz w:val="20"/>
                <w:szCs w:val="20"/>
                <w:lang w:val="en-US" w:eastAsia="en-GB"/>
              </w:rPr>
              <w:t xml:space="preserve"> (gp91)</w:t>
            </w:r>
          </w:p>
          <w:p w:rsidR="00704ADA" w:rsidRPr="00527BC5" w:rsidRDefault="00704ADA" w:rsidP="00124A6C">
            <w:pPr>
              <w:rPr>
                <w:rFonts w:ascii="Arial" w:eastAsia="Times New Roman" w:hAnsi="Arial" w:cs="Arial"/>
                <w:color w:val="000000"/>
                <w:sz w:val="20"/>
                <w:szCs w:val="20"/>
                <w:lang w:val="en-US" w:eastAsia="en-GB"/>
              </w:rPr>
            </w:pPr>
          </w:p>
        </w:tc>
        <w:tc>
          <w:tcPr>
            <w:tcW w:w="1372" w:type="dxa"/>
          </w:tcPr>
          <w:p w:rsidR="00704ADA" w:rsidRPr="00527BC5" w:rsidRDefault="00704ADA" w:rsidP="00124A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eastAsia="en-GB"/>
              </w:rPr>
            </w:pPr>
            <w:r w:rsidRPr="00527BC5">
              <w:rPr>
                <w:rFonts w:ascii="Arial" w:eastAsia="Times New Roman" w:hAnsi="Arial" w:cs="Arial"/>
                <w:color w:val="000000"/>
                <w:sz w:val="20"/>
                <w:szCs w:val="20"/>
                <w:lang w:val="en-US" w:eastAsia="en-GB"/>
              </w:rPr>
              <w:t>ENSDARG00000056615</w:t>
            </w:r>
          </w:p>
        </w:tc>
        <w:tc>
          <w:tcPr>
            <w:tcW w:w="1287" w:type="dxa"/>
          </w:tcPr>
          <w:p w:rsidR="00704ADA" w:rsidRPr="00527BC5" w:rsidRDefault="00704ADA" w:rsidP="00124A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eastAsia="en-GB"/>
              </w:rPr>
            </w:pPr>
            <w:r w:rsidRPr="00527BC5">
              <w:rPr>
                <w:rFonts w:ascii="Arial" w:eastAsia="Times New Roman" w:hAnsi="Arial" w:cs="Arial"/>
                <w:color w:val="000000"/>
                <w:sz w:val="20"/>
                <w:szCs w:val="20"/>
                <w:lang w:val="en-US" w:eastAsia="en-GB"/>
              </w:rPr>
              <w:t>sMO2_cybb</w:t>
            </w:r>
          </w:p>
        </w:tc>
        <w:tc>
          <w:tcPr>
            <w:tcW w:w="2444" w:type="dxa"/>
            <w:vAlign w:val="center"/>
          </w:tcPr>
          <w:p w:rsidR="00704ADA" w:rsidRPr="00527BC5" w:rsidRDefault="00704ADA" w:rsidP="00124A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eastAsia="en-GB"/>
              </w:rPr>
            </w:pPr>
            <w:r w:rsidRPr="00527BC5">
              <w:rPr>
                <w:rFonts w:ascii="Arial" w:eastAsia="Times New Roman" w:hAnsi="Arial" w:cs="Arial"/>
                <w:color w:val="000000"/>
                <w:sz w:val="20"/>
                <w:szCs w:val="20"/>
                <w:lang w:val="en-US" w:eastAsia="en-GB"/>
              </w:rPr>
              <w:t>5'-CATAATCCCGATAGCTTACGATAAC-3'</w:t>
            </w:r>
          </w:p>
        </w:tc>
        <w:tc>
          <w:tcPr>
            <w:tcW w:w="947" w:type="dxa"/>
          </w:tcPr>
          <w:p w:rsidR="00704ADA" w:rsidRPr="00527BC5" w:rsidRDefault="00704ADA" w:rsidP="00124A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eastAsia="en-GB"/>
              </w:rPr>
            </w:pPr>
            <w:r w:rsidRPr="00527BC5">
              <w:rPr>
                <w:rFonts w:ascii="Arial" w:eastAsia="Times New Roman" w:hAnsi="Arial" w:cs="Arial"/>
                <w:color w:val="000000"/>
                <w:sz w:val="20"/>
                <w:szCs w:val="20"/>
                <w:lang w:val="en-US" w:eastAsia="en-GB"/>
              </w:rPr>
              <w:t>E1-I1</w:t>
            </w:r>
          </w:p>
        </w:tc>
        <w:tc>
          <w:tcPr>
            <w:tcW w:w="1003" w:type="dxa"/>
          </w:tcPr>
          <w:p w:rsidR="00704ADA" w:rsidRPr="00527BC5" w:rsidRDefault="00704ADA" w:rsidP="00124A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eastAsia="en-GB"/>
              </w:rPr>
            </w:pPr>
            <w:r w:rsidRPr="00527BC5">
              <w:rPr>
                <w:rFonts w:ascii="Arial" w:eastAsia="Times New Roman" w:hAnsi="Arial" w:cs="Arial"/>
                <w:color w:val="000000"/>
                <w:sz w:val="20"/>
                <w:szCs w:val="20"/>
                <w:lang w:val="en-US" w:eastAsia="en-GB"/>
              </w:rPr>
              <w:t>0,8</w:t>
            </w:r>
          </w:p>
        </w:tc>
        <w:tc>
          <w:tcPr>
            <w:tcW w:w="1276" w:type="dxa"/>
            <w:tcBorders>
              <w:right w:val="single" w:sz="4" w:space="0" w:color="FFFFFF" w:themeColor="background1"/>
            </w:tcBorders>
            <w:vAlign w:val="center"/>
          </w:tcPr>
          <w:p w:rsidR="00704ADA" w:rsidRPr="00527BC5" w:rsidRDefault="00704ADA" w:rsidP="00DB3EC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fldChar w:fldCharType="begin" w:fldLock="1"/>
            </w:r>
            <w:r w:rsidR="00D61F98">
              <w:rPr>
                <w:rFonts w:ascii="Arial" w:eastAsia="Times New Roman" w:hAnsi="Arial" w:cs="Arial"/>
                <w:color w:val="000000"/>
                <w:sz w:val="20"/>
                <w:szCs w:val="20"/>
                <w:lang w:val="en-US" w:eastAsia="en-GB"/>
              </w:rPr>
              <w:instrText>ADDIN CSL_CITATION { "citationItems" : [ { "id" : "ITEM-1", "itemData" : { "DOI" : "10.1016/j.chom.2012.07.009", "ISSN" : "19313128", "author" : [ { "dropping-particle" : "", "family" : "Yang", "given" : "Chao-Tsung", "non-dropping-particle" : "", "parse-names" : false, "suffix" : "" }, { "dropping-particle" : "", "family" : "Cambier", "given" : "C.J.", "non-dropping-particle" : "", "parse-names" : false, "suffix" : "" }, { "dropping-particle" : "", "family" : "Davis", "given" : "J.\u00a0Muse", "non-dropping-particle" : "", "parse-names" : false, "suffix" : "" }, { "dropping-particle" : "", "family" : "Hall", "given" : "Christopher\u00a0J.", "non-dropping-particle" : "", "parse-names" : false, "suffix" : "" }, { "dropping-particle" : "", "family" : "Crosier", "given" : "Philip\u00a0S.", "non-dropping-particle" : "", "parse-names" : false, "suffix" : "" }, { "dropping-particle" : "", "family" : "Ramakrishnan", "given" : "Lalita", "non-dropping-particle" : "", "parse-names" : false, "suffix" : "" } ], "container-title" : "Cell Host &amp; Microbe", "id" : "ITEM-1", "issue" : "3", "issued" : { "date-parts" : [ [ "2012", "9" ] ] }, "page" : "301-312", "publisher" : "Elsevier Inc.", "title" : "Neutrophils Exert Protection in the Early Tuberculous Granuloma by Oxidative Killing of Mycobacteria Phagocytosed from Infected Macrophages", "type" : "article-journal", "volume" : "12" }, "uris" : [ "http://www.mendeley.com/documents/?uuid=3e33fd91-9e23-4cbb-a257-b8fcc058d5a5" ] } ], "mendeley" : { "formattedCitation" : "(2)", "plainTextFormattedCitation" : "(2)", "previouslyFormattedCitation" : "(Yang et al., 2012)" }, "properties" : { "noteIndex" : 0 }, "schema" : "https://github.com/citation-style-language/schema/raw/master/csl-citation.json" }</w:instrText>
            </w:r>
            <w:r>
              <w:rPr>
                <w:rFonts w:ascii="Arial" w:eastAsia="Times New Roman" w:hAnsi="Arial" w:cs="Arial"/>
                <w:color w:val="000000"/>
                <w:sz w:val="20"/>
                <w:szCs w:val="20"/>
                <w:lang w:val="en-US" w:eastAsia="en-GB"/>
              </w:rPr>
              <w:fldChar w:fldCharType="separate"/>
            </w:r>
            <w:r w:rsidR="00DB3ECC">
              <w:rPr>
                <w:rFonts w:ascii="Arial" w:eastAsia="Times New Roman" w:hAnsi="Arial" w:cs="Arial"/>
                <w:noProof/>
                <w:color w:val="000000"/>
                <w:sz w:val="20"/>
                <w:szCs w:val="20"/>
                <w:lang w:val="en-US" w:eastAsia="en-GB"/>
              </w:rPr>
              <w:t>[</w:t>
            </w:r>
            <w:r w:rsidR="00D61F98" w:rsidRPr="00D61F98">
              <w:rPr>
                <w:rFonts w:ascii="Arial" w:eastAsia="Times New Roman" w:hAnsi="Arial" w:cs="Arial"/>
                <w:noProof/>
                <w:color w:val="000000"/>
                <w:sz w:val="20"/>
                <w:szCs w:val="20"/>
                <w:lang w:val="en-US" w:eastAsia="en-GB"/>
              </w:rPr>
              <w:t>2</w:t>
            </w:r>
            <w:r>
              <w:rPr>
                <w:rFonts w:ascii="Arial" w:eastAsia="Times New Roman" w:hAnsi="Arial" w:cs="Arial"/>
                <w:color w:val="000000"/>
                <w:sz w:val="20"/>
                <w:szCs w:val="20"/>
                <w:lang w:val="en-US" w:eastAsia="en-GB"/>
              </w:rPr>
              <w:fldChar w:fldCharType="end"/>
            </w:r>
            <w:r w:rsidR="00DB3ECC">
              <w:rPr>
                <w:rFonts w:ascii="Arial" w:eastAsia="Times New Roman" w:hAnsi="Arial" w:cs="Arial"/>
                <w:color w:val="000000"/>
                <w:sz w:val="20"/>
                <w:szCs w:val="20"/>
                <w:lang w:val="en-US" w:eastAsia="en-GB"/>
              </w:rPr>
              <w:t>]</w:t>
            </w:r>
          </w:p>
        </w:tc>
      </w:tr>
      <w:tr w:rsidR="00F13E43" w:rsidRPr="00527BC5" w:rsidTr="00124A6C">
        <w:tc>
          <w:tcPr>
            <w:cnfStyle w:val="001000000000" w:firstRow="0" w:lastRow="0" w:firstColumn="1" w:lastColumn="0" w:oddVBand="0" w:evenVBand="0" w:oddHBand="0" w:evenHBand="0" w:firstRowFirstColumn="0" w:firstRowLastColumn="0" w:lastRowFirstColumn="0" w:lastRowLastColumn="0"/>
            <w:tcW w:w="993" w:type="dxa"/>
            <w:tcBorders>
              <w:left w:val="single" w:sz="4" w:space="0" w:color="FFFFFF" w:themeColor="background1"/>
              <w:right w:val="single" w:sz="4" w:space="0" w:color="FFFFFF" w:themeColor="background1"/>
            </w:tcBorders>
          </w:tcPr>
          <w:p w:rsidR="00F13E43" w:rsidRPr="00527BC5" w:rsidRDefault="00F13E43" w:rsidP="00124A6C">
            <w:pPr>
              <w:rPr>
                <w:rFonts w:ascii="Arial" w:eastAsia="Times New Roman" w:hAnsi="Arial" w:cs="Arial"/>
                <w:i/>
                <w:color w:val="000000"/>
                <w:sz w:val="20"/>
                <w:szCs w:val="20"/>
                <w:lang w:val="en-US" w:eastAsia="en-GB"/>
              </w:rPr>
            </w:pPr>
            <w:r>
              <w:rPr>
                <w:rFonts w:ascii="Arial" w:eastAsia="Times New Roman" w:hAnsi="Arial" w:cs="Arial"/>
                <w:i/>
                <w:color w:val="000000"/>
                <w:sz w:val="20"/>
                <w:szCs w:val="20"/>
                <w:lang w:val="en-US" w:eastAsia="en-GB"/>
              </w:rPr>
              <w:t>csf3R</w:t>
            </w:r>
          </w:p>
        </w:tc>
        <w:tc>
          <w:tcPr>
            <w:tcW w:w="1372" w:type="dxa"/>
          </w:tcPr>
          <w:p w:rsidR="00F13E43" w:rsidRPr="00527BC5" w:rsidRDefault="00F13E43" w:rsidP="00124A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r w:rsidRPr="000E1543">
              <w:rPr>
                <w:rFonts w:ascii="Arial" w:eastAsia="Times New Roman" w:hAnsi="Arial" w:cs="Arial"/>
                <w:color w:val="000000"/>
                <w:sz w:val="20"/>
                <w:szCs w:val="20"/>
                <w:lang w:val="en-US" w:eastAsia="en-GB"/>
              </w:rPr>
              <w:t>ENSDARG00000045959</w:t>
            </w:r>
          </w:p>
        </w:tc>
        <w:tc>
          <w:tcPr>
            <w:tcW w:w="1287" w:type="dxa"/>
          </w:tcPr>
          <w:p w:rsidR="00F13E43" w:rsidRPr="00527BC5" w:rsidRDefault="00F13E43" w:rsidP="00124A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proofErr w:type="spellStart"/>
            <w:r>
              <w:rPr>
                <w:rFonts w:ascii="Arial" w:eastAsia="Times New Roman" w:hAnsi="Arial" w:cs="Arial"/>
                <w:color w:val="000000"/>
                <w:sz w:val="20"/>
                <w:szCs w:val="20"/>
                <w:lang w:val="en-US" w:eastAsia="en-GB"/>
              </w:rPr>
              <w:t>tMO</w:t>
            </w:r>
            <w:proofErr w:type="spellEnd"/>
          </w:p>
        </w:tc>
        <w:tc>
          <w:tcPr>
            <w:tcW w:w="2444" w:type="dxa"/>
            <w:vAlign w:val="bottom"/>
          </w:tcPr>
          <w:p w:rsidR="00F13E43" w:rsidRPr="00527BC5" w:rsidRDefault="00F13E43" w:rsidP="0062642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5′</w:t>
            </w:r>
            <w:r w:rsidRPr="00626425">
              <w:rPr>
                <w:rFonts w:ascii="Arial" w:eastAsia="Times New Roman" w:hAnsi="Arial" w:cs="Arial"/>
                <w:color w:val="000000"/>
                <w:sz w:val="20"/>
                <w:szCs w:val="20"/>
                <w:lang w:val="en-US" w:eastAsia="en-GB"/>
              </w:rPr>
              <w:t>-GAAGCACAAGCGAGA</w:t>
            </w:r>
            <w:r>
              <w:rPr>
                <w:rFonts w:ascii="Arial" w:eastAsia="Times New Roman" w:hAnsi="Arial" w:cs="Arial"/>
                <w:color w:val="000000"/>
                <w:sz w:val="20"/>
                <w:szCs w:val="20"/>
                <w:lang w:val="en-US" w:eastAsia="en-GB"/>
              </w:rPr>
              <w:t>CGGATGCCAT</w:t>
            </w:r>
            <w:r w:rsidRPr="00626425">
              <w:rPr>
                <w:rFonts w:ascii="Arial" w:eastAsia="Times New Roman" w:hAnsi="Arial" w:cs="Arial"/>
                <w:color w:val="000000"/>
                <w:sz w:val="20"/>
                <w:szCs w:val="20"/>
                <w:lang w:val="en-US" w:eastAsia="en-GB"/>
              </w:rPr>
              <w:t>-3</w:t>
            </w:r>
          </w:p>
        </w:tc>
        <w:tc>
          <w:tcPr>
            <w:tcW w:w="947" w:type="dxa"/>
          </w:tcPr>
          <w:p w:rsidR="00F13E43" w:rsidRPr="00527BC5" w:rsidRDefault="00F13E43" w:rsidP="00124A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ATG/5’UTR</w:t>
            </w:r>
          </w:p>
        </w:tc>
        <w:tc>
          <w:tcPr>
            <w:tcW w:w="1003" w:type="dxa"/>
          </w:tcPr>
          <w:p w:rsidR="00F13E43" w:rsidRPr="00527BC5" w:rsidRDefault="00F13E43" w:rsidP="008620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0.5</w:t>
            </w:r>
          </w:p>
        </w:tc>
        <w:tc>
          <w:tcPr>
            <w:tcW w:w="1276" w:type="dxa"/>
            <w:tcBorders>
              <w:right w:val="single" w:sz="4" w:space="0" w:color="FFFFFF" w:themeColor="background1"/>
            </w:tcBorders>
            <w:vAlign w:val="center"/>
          </w:tcPr>
          <w:p w:rsidR="00F13E43" w:rsidRDefault="00F13E43" w:rsidP="00DB3EC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nl-NL" w:eastAsia="en-GB"/>
              </w:rPr>
            </w:pPr>
            <w:r>
              <w:rPr>
                <w:rFonts w:ascii="Arial" w:eastAsia="Times New Roman" w:hAnsi="Arial" w:cs="Arial"/>
                <w:color w:val="000000"/>
                <w:sz w:val="20"/>
                <w:szCs w:val="20"/>
                <w:lang w:val="nl-NL" w:eastAsia="en-GB"/>
              </w:rPr>
              <w:fldChar w:fldCharType="begin" w:fldLock="1"/>
            </w:r>
            <w:r w:rsidR="00D61F98">
              <w:rPr>
                <w:rFonts w:ascii="Arial" w:eastAsia="Times New Roman" w:hAnsi="Arial" w:cs="Arial"/>
                <w:color w:val="000000"/>
                <w:sz w:val="20"/>
                <w:szCs w:val="20"/>
                <w:lang w:val="nl-NL" w:eastAsia="en-GB"/>
              </w:rPr>
              <w:instrText>ADDIN CSL_CITATION { "citationItems" : [ { "id" : "ITEM-1", "itemData" : { "DOI" : "10.1182/blood-2010-10-314120", "ISSN" : "1528-0020", "PMID" : "21084707", "abstract" : "Macrophages and neutrophils play important roles during the innate immune response, phagocytosing invading microbes and delivering antimicrobial compounds to the site of injury. Functional analyses of the cellular innate immune response in zebrafish infection/inflammation models have been aided by transgenic lines with fluorophore-marked neutrophils. However, it has not been possible to study macrophage behaviors and neutrophil/macrophage interactions in vivo directly because there has been no macrophage-only reporter line. To remove this roadblock, a macrophage-specific marker was identified (mpeg1) and its promoter used in mpeg1-driven transgenes. mpeg1-driven transgenes are expressed in macrophage-lineage cells that do not express neutrophil-marking transgenes. Using these lines, the different dynamic behaviors of neutrophils and macrophages after wounding were compared side-by-side in compound transgenics. Macrophage/neutrophil interactions, such as phagocytosis of senescent neutrophils, were readily observed in real time. These zebrafish transgenes provide a new resource that will contribute to the fields of inflammation, infection, and leukocyte biology.", "author" : [ { "dropping-particle" : "", "family" : "Ellett", "given" : "Felix", "non-dropping-particle" : "", "parse-names" : false, "suffix" : "" }, { "dropping-particle" : "", "family" : "Pase", "given" : "Luke", "non-dropping-particle" : "", "parse-names" : false, "suffix" : "" }, { "dropping-particle" : "", "family" : "Hayman", "given" : "John W", "non-dropping-particle" : "", "parse-names" : false, "suffix" : "" }, { "dropping-particle" : "", "family" : "Andrianopoulos", "given" : "Alex", "non-dropping-particle" : "", "parse-names" : false, "suffix" : "" }, { "dropping-particle" : "", "family" : "Lieschke", "given" : "Graham J", "non-dropping-particle" : "", "parse-names" : false, "suffix" : "" } ], "container-title" : "Blood", "id" : "ITEM-1", "issue" : "4", "issued" : { "date-parts" : [ [ "2011", "1", "27" ] ] }, "page" : "e49-56", "title" : "Mpeg1 Promoter Transgenes Direct Macrophage-Lineage Expression in Zebrafish.", "type" : "article-journal", "volume" : "117" }, "uris" : [ "http://www.mendeley.com/documents/?uuid=1a5f3dab-102e-45ff-ac31-fa9ade98ccd2" ] } ], "mendeley" : { "formattedCitation" : "(3)", "plainTextFormattedCitation" : "(3)", "previouslyFormattedCitation" : "(Ellett et al., 2011)" }, "properties" : { "noteIndex" : 0 }, "schema" : "https://github.com/citation-style-language/schema/raw/master/csl-citation.json" }</w:instrText>
            </w:r>
            <w:r>
              <w:rPr>
                <w:rFonts w:ascii="Arial" w:eastAsia="Times New Roman" w:hAnsi="Arial" w:cs="Arial"/>
                <w:color w:val="000000"/>
                <w:sz w:val="20"/>
                <w:szCs w:val="20"/>
                <w:lang w:val="nl-NL" w:eastAsia="en-GB"/>
              </w:rPr>
              <w:fldChar w:fldCharType="separate"/>
            </w:r>
            <w:r w:rsidR="00DB3ECC">
              <w:rPr>
                <w:rFonts w:ascii="Arial" w:eastAsia="Times New Roman" w:hAnsi="Arial" w:cs="Arial"/>
                <w:noProof/>
                <w:color w:val="000000"/>
                <w:sz w:val="20"/>
                <w:szCs w:val="20"/>
                <w:lang w:val="nl-NL" w:eastAsia="en-GB"/>
              </w:rPr>
              <w:t>[</w:t>
            </w:r>
            <w:r w:rsidR="00D61F98" w:rsidRPr="00D61F98">
              <w:rPr>
                <w:rFonts w:ascii="Arial" w:eastAsia="Times New Roman" w:hAnsi="Arial" w:cs="Arial"/>
                <w:noProof/>
                <w:color w:val="000000"/>
                <w:sz w:val="20"/>
                <w:szCs w:val="20"/>
                <w:lang w:val="nl-NL" w:eastAsia="en-GB"/>
              </w:rPr>
              <w:t>3</w:t>
            </w:r>
            <w:r>
              <w:rPr>
                <w:rFonts w:ascii="Arial" w:eastAsia="Times New Roman" w:hAnsi="Arial" w:cs="Arial"/>
                <w:color w:val="000000"/>
                <w:sz w:val="20"/>
                <w:szCs w:val="20"/>
                <w:lang w:val="nl-NL" w:eastAsia="en-GB"/>
              </w:rPr>
              <w:fldChar w:fldCharType="end"/>
            </w:r>
            <w:r w:rsidR="00DB3ECC">
              <w:rPr>
                <w:rFonts w:ascii="Arial" w:eastAsia="Times New Roman" w:hAnsi="Arial" w:cs="Arial"/>
                <w:color w:val="000000"/>
                <w:sz w:val="20"/>
                <w:szCs w:val="20"/>
                <w:lang w:val="nl-NL" w:eastAsia="en-GB"/>
              </w:rPr>
              <w:t>]</w:t>
            </w:r>
          </w:p>
        </w:tc>
      </w:tr>
      <w:tr w:rsidR="00F13E43" w:rsidRPr="00D61F98" w:rsidTr="00124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left w:val="single" w:sz="4" w:space="0" w:color="FFFFFF" w:themeColor="background1"/>
              <w:right w:val="single" w:sz="4" w:space="0" w:color="FFFFFF" w:themeColor="background1"/>
            </w:tcBorders>
          </w:tcPr>
          <w:p w:rsidR="00F13E43" w:rsidRDefault="00F13E43" w:rsidP="00124A6C">
            <w:pPr>
              <w:rPr>
                <w:rFonts w:ascii="Arial" w:eastAsia="Times New Roman" w:hAnsi="Arial" w:cs="Arial"/>
                <w:i/>
                <w:color w:val="000000"/>
                <w:sz w:val="20"/>
                <w:szCs w:val="20"/>
                <w:lang w:val="en-US" w:eastAsia="en-GB"/>
              </w:rPr>
            </w:pPr>
            <w:r>
              <w:rPr>
                <w:rFonts w:ascii="Arial" w:eastAsia="Times New Roman" w:hAnsi="Arial" w:cs="Arial"/>
                <w:i/>
                <w:color w:val="000000"/>
                <w:sz w:val="20"/>
                <w:szCs w:val="20"/>
                <w:lang w:val="en-US" w:eastAsia="en-GB"/>
              </w:rPr>
              <w:t>Il1b</w:t>
            </w:r>
          </w:p>
        </w:tc>
        <w:tc>
          <w:tcPr>
            <w:tcW w:w="1372" w:type="dxa"/>
          </w:tcPr>
          <w:p w:rsidR="00F13E43" w:rsidRPr="000E1543" w:rsidRDefault="00F13E43" w:rsidP="00124A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eastAsia="en-GB"/>
              </w:rPr>
            </w:pPr>
            <w:r w:rsidRPr="00A44349">
              <w:rPr>
                <w:rFonts w:ascii="Arial" w:eastAsia="Times New Roman" w:hAnsi="Arial" w:cs="Arial"/>
                <w:color w:val="000000"/>
                <w:sz w:val="20"/>
                <w:szCs w:val="20"/>
                <w:lang w:val="en-US" w:eastAsia="en-GB"/>
              </w:rPr>
              <w:t>ENSDARG00000098700</w:t>
            </w:r>
          </w:p>
        </w:tc>
        <w:tc>
          <w:tcPr>
            <w:tcW w:w="1287" w:type="dxa"/>
          </w:tcPr>
          <w:p w:rsidR="00F13E43" w:rsidRDefault="00F13E43" w:rsidP="00124A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eastAsia="en-GB"/>
              </w:rPr>
            </w:pPr>
            <w:proofErr w:type="spellStart"/>
            <w:r>
              <w:rPr>
                <w:rFonts w:ascii="Arial" w:eastAsia="Times New Roman" w:hAnsi="Arial" w:cs="Arial"/>
                <w:color w:val="000000"/>
                <w:sz w:val="20"/>
                <w:szCs w:val="20"/>
                <w:lang w:val="en-US" w:eastAsia="en-GB"/>
              </w:rPr>
              <w:t>sMO</w:t>
            </w:r>
            <w:proofErr w:type="spellEnd"/>
          </w:p>
        </w:tc>
        <w:tc>
          <w:tcPr>
            <w:tcW w:w="2444" w:type="dxa"/>
            <w:vAlign w:val="bottom"/>
          </w:tcPr>
          <w:p w:rsidR="00F13E43" w:rsidRPr="00A44349" w:rsidRDefault="00F13E43" w:rsidP="00626425">
            <w:pPr>
              <w:cnfStyle w:val="000000100000" w:firstRow="0" w:lastRow="0" w:firstColumn="0" w:lastColumn="0" w:oddVBand="0" w:evenVBand="0" w:oddHBand="1" w:evenHBand="0" w:firstRowFirstColumn="0" w:firstRowLastColumn="0" w:lastRowFirstColumn="0" w:lastRowLastColumn="0"/>
              <w:rPr>
                <w:color w:val="000000"/>
              </w:rPr>
            </w:pPr>
            <w:r>
              <w:rPr>
                <w:color w:val="000000"/>
              </w:rPr>
              <w:t>5′-CCCACAAACTGCAAAATATCAGCTT-3′</w:t>
            </w:r>
          </w:p>
        </w:tc>
        <w:tc>
          <w:tcPr>
            <w:tcW w:w="947" w:type="dxa"/>
          </w:tcPr>
          <w:p w:rsidR="00F13E43" w:rsidRDefault="00F13E43" w:rsidP="00124A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I2/E3</w:t>
            </w:r>
          </w:p>
        </w:tc>
        <w:tc>
          <w:tcPr>
            <w:tcW w:w="1003" w:type="dxa"/>
          </w:tcPr>
          <w:p w:rsidR="00F13E43" w:rsidRDefault="00F13E43" w:rsidP="008620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0.5-1</w:t>
            </w:r>
          </w:p>
        </w:tc>
        <w:tc>
          <w:tcPr>
            <w:tcW w:w="1276" w:type="dxa"/>
            <w:tcBorders>
              <w:right w:val="single" w:sz="4" w:space="0" w:color="FFFFFF" w:themeColor="background1"/>
            </w:tcBorders>
            <w:vAlign w:val="center"/>
          </w:tcPr>
          <w:p w:rsidR="00F13E43" w:rsidRDefault="00F13E43" w:rsidP="00124A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nl-NL" w:eastAsia="en-GB"/>
              </w:rPr>
            </w:pPr>
            <w:r>
              <w:rPr>
                <w:rFonts w:ascii="Arial" w:eastAsia="Times New Roman" w:hAnsi="Arial" w:cs="Arial"/>
                <w:color w:val="000000"/>
                <w:sz w:val="20"/>
                <w:szCs w:val="20"/>
                <w:lang w:val="nl-NL" w:eastAsia="en-GB"/>
              </w:rPr>
              <w:fldChar w:fldCharType="begin" w:fldLock="1"/>
            </w:r>
            <w:r w:rsidR="00D61F98">
              <w:rPr>
                <w:rFonts w:ascii="Arial" w:eastAsia="Times New Roman" w:hAnsi="Arial" w:cs="Arial"/>
                <w:color w:val="000000"/>
                <w:sz w:val="20"/>
                <w:szCs w:val="20"/>
                <w:lang w:val="nl-NL" w:eastAsia="en-GB"/>
              </w:rPr>
              <w:instrText>ADDIN CSL_CITATION { "citationItems" : [ { "id" : "ITEM-1", "itemData" : { "DOI" : "10.1242/dmm.014498", "ISSN" : "1754-8411", "PMID" : "24973754", "abstract" : "Zebrafish embryos and larvae are now well-established models in which to study infectious diseases. Infections with non-pathogenic Gram-negative Escherichia coli induce a strong and reproducible inflammatory response. Here, we study the cellular response of zebrafish larvae when E. coli bacteria are injected into the notochord and describe the effects. First, we provide direct evidence that the notochord is a unique organ that is inaccessible to leukocytes (macrophages and neutrophils) during the early stages of inflammation. Second, we show that notochord infection induces a host response that is characterised by rapid clearance of the bacteria, strong leukocyte recruitment around the notochord and prolonged inflammation that lasts several days after bacteria clearance. During this inflammatory response, il1b is first expressed in macrophages and subsequently at high levels in neutrophils. Moreover, knock down of il1b alters the recruitment of neutrophils to the notochord, demonstrating the important role of this cytokine in the maintenance of inflammation in the notochord. Eventually, infection of the notochord induces severe defects of the notochord that correlate with neutrophil degranulation occurring around this tissue. This is the first in vivo evidence that neutrophils can degranulate in the absence of a direct encounter with a pathogen. Persistent inflammation, neutrophil infiltration and restructuring of the extracellular matrix are defects that resemble those seen in bone infection and in some chondropathies. As the notochord is a transient embryonic structure that is closely related to cartilage and bone and that contributes to vertebral column formation, we propose infection of the notochord in zebrafish larvae as a new model to study the cellular and molecular mechanisms underlying cartilage and bone inflammation.", "author" : [ { "dropping-particle" : "", "family" : "Nguyen-Chi", "given" : "Mai", "non-dropping-particle" : "", "parse-names" : false, "suffix" : "" }, { "dropping-particle" : "", "family" : "Phan", "given" : "Quang Tien", "non-dropping-particle" : "", "parse-names" : false, "suffix" : "" }, { "dropping-particle" : "", "family" : "Gonzalez", "given" : "Catherine", "non-dropping-particle" : "", "parse-names" : false, "suffix" : "" }, { "dropping-particle" : "", "family" : "Dubremetz", "given" : "Jean-Fran\u00e7ois", "non-dropping-particle" : "", "parse-names" : false, "suffix" : "" }, { "dropping-particle" : "", "family" : "Levraud", "given" : "Jean-Pierre", "non-dropping-particle" : "", "parse-names" : false, "suffix" : "" }, { "dropping-particle" : "", "family" : "Lutfalla", "given" : "Georges", "non-dropping-particle" : "", "parse-names" : false, "suffix" : "" } ], "container-title" : "Disease models &amp; mechanisms", "id" : "ITEM-1", "issue" : "7", "issued" : { "date-parts" : [ [ "2014", "7" ] ] }, "page" : "871-82", "title" : "Transient infection of the zebrafish notochord with E. coli induces chronic inflammation.", "type" : "article-journal", "volume" : "7" }, "uris" : [ "http://www.mendeley.com/documents/?uuid=7a1b1b75-b1d0-453b-877b-b525baa3d05e" ] } ], "mendeley" : { "formattedCitation" : "(4)", "plainTextFormattedCitation" : "(4)", "previouslyFormattedCitation" : "(Nguyen-Chi et al., 2014)" }, "properties" : { "noteIndex" : 0 }, "schema" : "https://github.com/citation-style-language/schema/raw/master/csl-citation.json" }</w:instrText>
            </w:r>
            <w:r>
              <w:rPr>
                <w:rFonts w:ascii="Arial" w:eastAsia="Times New Roman" w:hAnsi="Arial" w:cs="Arial"/>
                <w:color w:val="000000"/>
                <w:sz w:val="20"/>
                <w:szCs w:val="20"/>
                <w:lang w:val="nl-NL" w:eastAsia="en-GB"/>
              </w:rPr>
              <w:fldChar w:fldCharType="separate"/>
            </w:r>
            <w:r w:rsidR="00DB3ECC">
              <w:rPr>
                <w:rFonts w:ascii="Arial" w:eastAsia="Times New Roman" w:hAnsi="Arial" w:cs="Arial"/>
                <w:noProof/>
                <w:color w:val="000000"/>
                <w:sz w:val="20"/>
                <w:szCs w:val="20"/>
                <w:lang w:val="nl-NL" w:eastAsia="en-GB"/>
              </w:rPr>
              <w:t>[</w:t>
            </w:r>
            <w:r w:rsidR="00D61F98" w:rsidRPr="00D61F98">
              <w:rPr>
                <w:rFonts w:ascii="Arial" w:eastAsia="Times New Roman" w:hAnsi="Arial" w:cs="Arial"/>
                <w:noProof/>
                <w:color w:val="000000"/>
                <w:sz w:val="20"/>
                <w:szCs w:val="20"/>
                <w:lang w:val="nl-NL" w:eastAsia="en-GB"/>
              </w:rPr>
              <w:t>4)</w:t>
            </w:r>
            <w:r>
              <w:rPr>
                <w:rFonts w:ascii="Arial" w:eastAsia="Times New Roman" w:hAnsi="Arial" w:cs="Arial"/>
                <w:color w:val="000000"/>
                <w:sz w:val="20"/>
                <w:szCs w:val="20"/>
                <w:lang w:val="nl-NL" w:eastAsia="en-GB"/>
              </w:rPr>
              <w:fldChar w:fldCharType="end"/>
            </w:r>
          </w:p>
        </w:tc>
      </w:tr>
      <w:tr w:rsidR="00F13E43" w:rsidRPr="00527BC5" w:rsidTr="00124A6C">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FFFFFF" w:themeColor="background1"/>
              <w:right w:val="single" w:sz="4" w:space="0" w:color="FFFFFF" w:themeColor="background1"/>
            </w:tcBorders>
          </w:tcPr>
          <w:p w:rsidR="00F13E43" w:rsidRPr="00A44349" w:rsidRDefault="00F13E43" w:rsidP="00124A6C">
            <w:pPr>
              <w:rPr>
                <w:rFonts w:ascii="Arial" w:eastAsia="Times New Roman" w:hAnsi="Arial" w:cs="Arial"/>
                <w:b w:val="0"/>
                <w:bCs w:val="0"/>
                <w:i/>
                <w:color w:val="000000"/>
                <w:sz w:val="20"/>
                <w:szCs w:val="20"/>
                <w:lang w:val="nl-NL" w:eastAsia="en-GB"/>
              </w:rPr>
            </w:pPr>
            <w:r w:rsidRPr="00A44349">
              <w:rPr>
                <w:rFonts w:ascii="Arial" w:eastAsia="Times New Roman" w:hAnsi="Arial" w:cs="Arial"/>
                <w:i/>
                <w:color w:val="000000"/>
                <w:sz w:val="20"/>
                <w:szCs w:val="20"/>
                <w:lang w:val="nl-NL" w:eastAsia="en-GB"/>
              </w:rPr>
              <w:t>myd88</w:t>
            </w:r>
          </w:p>
          <w:p w:rsidR="00F13E43" w:rsidRPr="00A44349" w:rsidRDefault="00F13E43" w:rsidP="00124A6C">
            <w:pPr>
              <w:rPr>
                <w:rFonts w:ascii="Arial" w:eastAsia="Times New Roman" w:hAnsi="Arial" w:cs="Arial"/>
                <w:color w:val="000000"/>
                <w:sz w:val="20"/>
                <w:szCs w:val="20"/>
                <w:lang w:val="nl-NL" w:eastAsia="en-GB"/>
              </w:rPr>
            </w:pPr>
          </w:p>
        </w:tc>
        <w:tc>
          <w:tcPr>
            <w:tcW w:w="1372" w:type="dxa"/>
            <w:vMerge w:val="restart"/>
          </w:tcPr>
          <w:p w:rsidR="00F13E43" w:rsidRPr="00A44349" w:rsidRDefault="00F13E43" w:rsidP="00124A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nl-NL" w:eastAsia="en-GB"/>
              </w:rPr>
            </w:pPr>
            <w:r w:rsidRPr="00A44349">
              <w:rPr>
                <w:rFonts w:ascii="Arial" w:eastAsia="Times New Roman" w:hAnsi="Arial" w:cs="Arial"/>
                <w:color w:val="000000"/>
                <w:sz w:val="20"/>
                <w:szCs w:val="20"/>
                <w:lang w:val="nl-NL" w:eastAsia="en-GB"/>
              </w:rPr>
              <w:t>ENSDARG00000010169</w:t>
            </w:r>
          </w:p>
        </w:tc>
        <w:tc>
          <w:tcPr>
            <w:tcW w:w="1287" w:type="dxa"/>
          </w:tcPr>
          <w:p w:rsidR="00F13E43" w:rsidRPr="00A44349" w:rsidRDefault="00F13E43" w:rsidP="00124A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nl-NL" w:eastAsia="en-GB"/>
              </w:rPr>
            </w:pPr>
            <w:r w:rsidRPr="00A44349">
              <w:rPr>
                <w:rFonts w:ascii="Arial" w:eastAsia="Times New Roman" w:hAnsi="Arial" w:cs="Arial"/>
                <w:color w:val="000000"/>
                <w:sz w:val="20"/>
                <w:szCs w:val="20"/>
                <w:lang w:val="nl-NL" w:eastAsia="en-GB"/>
              </w:rPr>
              <w:t>tMO1-myd88</w:t>
            </w:r>
          </w:p>
        </w:tc>
        <w:tc>
          <w:tcPr>
            <w:tcW w:w="2444" w:type="dxa"/>
            <w:vAlign w:val="bottom"/>
          </w:tcPr>
          <w:p w:rsidR="00F13E43" w:rsidRPr="00A44349" w:rsidRDefault="00F13E43" w:rsidP="00124A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nl-NL" w:eastAsia="en-GB"/>
              </w:rPr>
            </w:pPr>
            <w:r w:rsidRPr="00A44349">
              <w:rPr>
                <w:rFonts w:ascii="Arial" w:eastAsia="Times New Roman" w:hAnsi="Arial" w:cs="Arial"/>
                <w:color w:val="000000"/>
                <w:sz w:val="20"/>
                <w:szCs w:val="20"/>
                <w:lang w:val="nl-NL" w:eastAsia="en-GB"/>
              </w:rPr>
              <w:t>5'- TAGCAAAACCTCTGTTATCCAGCGA-3'</w:t>
            </w:r>
          </w:p>
        </w:tc>
        <w:tc>
          <w:tcPr>
            <w:tcW w:w="947" w:type="dxa"/>
          </w:tcPr>
          <w:p w:rsidR="00F13E43" w:rsidRPr="00A44349" w:rsidRDefault="00F13E43" w:rsidP="00124A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nl-NL" w:eastAsia="en-GB"/>
              </w:rPr>
            </w:pPr>
            <w:r w:rsidRPr="00A44349">
              <w:rPr>
                <w:rFonts w:ascii="Arial" w:eastAsia="Times New Roman" w:hAnsi="Arial" w:cs="Arial"/>
                <w:color w:val="000000"/>
                <w:sz w:val="20"/>
                <w:szCs w:val="20"/>
                <w:lang w:val="nl-NL" w:eastAsia="en-GB"/>
              </w:rPr>
              <w:t>5’UTR</w:t>
            </w:r>
          </w:p>
        </w:tc>
        <w:tc>
          <w:tcPr>
            <w:tcW w:w="1003" w:type="dxa"/>
          </w:tcPr>
          <w:p w:rsidR="00F13E43" w:rsidRPr="00A44349" w:rsidRDefault="00F13E43" w:rsidP="00124A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nl-NL" w:eastAsia="en-GB"/>
              </w:rPr>
            </w:pPr>
            <w:r w:rsidRPr="00A44349">
              <w:rPr>
                <w:rFonts w:ascii="Arial" w:eastAsia="Times New Roman" w:hAnsi="Arial" w:cs="Arial"/>
                <w:color w:val="000000"/>
                <w:sz w:val="20"/>
                <w:szCs w:val="20"/>
                <w:lang w:val="nl-NL" w:eastAsia="en-GB"/>
              </w:rPr>
              <w:t>0,5</w:t>
            </w:r>
          </w:p>
        </w:tc>
        <w:tc>
          <w:tcPr>
            <w:tcW w:w="1276" w:type="dxa"/>
            <w:tcBorders>
              <w:right w:val="single" w:sz="4" w:space="0" w:color="FFFFFF" w:themeColor="background1"/>
            </w:tcBorders>
            <w:vAlign w:val="center"/>
          </w:tcPr>
          <w:p w:rsidR="00F13E43" w:rsidRPr="00D535E5" w:rsidRDefault="00F13E43" w:rsidP="00124A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nl-NL" w:eastAsia="en-GB"/>
              </w:rPr>
            </w:pPr>
            <w:r>
              <w:rPr>
                <w:rFonts w:ascii="Arial" w:eastAsia="Times New Roman" w:hAnsi="Arial" w:cs="Arial"/>
                <w:color w:val="000000"/>
                <w:sz w:val="20"/>
                <w:szCs w:val="20"/>
                <w:lang w:val="nl-NL" w:eastAsia="en-GB"/>
              </w:rPr>
              <w:fldChar w:fldCharType="begin" w:fldLock="1"/>
            </w:r>
            <w:r w:rsidR="00D61F98">
              <w:rPr>
                <w:rFonts w:ascii="Arial" w:eastAsia="Times New Roman" w:hAnsi="Arial" w:cs="Arial"/>
                <w:color w:val="000000"/>
                <w:sz w:val="20"/>
                <w:szCs w:val="20"/>
                <w:lang w:val="nl-NL" w:eastAsia="en-GB"/>
              </w:rPr>
              <w:instrText>ADDIN CSL_CITATION { "citationItems" : [ { "id" : "ITEM-1", "itemData" : { "DOI" : "10.1128/IAI.74.4.2436", "author" : [ { "dropping-particle" : "Van Der", "family" : "Sar", "given" : "Astrid M", "non-dropping-particle" : "", "parse-names" : false, "suffix" : "" }, { "dropping-particle" : "", "family" : "Stockhammer", "given" : "Oliver W", "non-dropping-particle" : "", "parse-names" : false, "suffix" : "" }, { "dropping-particle" : "Van Der", "family" : "Laan", "given" : "Carina", "non-dropping-particle" : "", "parse-names" : false, "suffix" : "" }, { "dropping-particle" : "", "family" : "Spaink", "given" : "Herman P", "non-dropping-particle" : "", "parse-names" : false, "suffix" : "" }, { "dropping-particle" : "", "family" : "Bitter", "given" : "Wilbert", "non-dropping-particle" : "", "parse-names" : false, "suffix" : "" }, { "dropping-particle" : "", "family" : "Meijer", "given" : "Annemarie H", "non-dropping-particle" : "", "parse-names" : false, "suffix" : "" } ], "container-title" : "Infection Immunity", "id" : "ITEM-1", "issue" : "4", "issued" : { "date-parts" : [ [ "2006" ] ] }, "page" : "2436-2441", "title" : "MyD88 Innate Immune Function in a Zebrafish Embryo Infection Model", "type" : "article-journal", "volume" : "74" }, "uris" : [ "http://www.mendeley.com/documents/?uuid=de17c2cd-bad9-4e6f-9b0f-22fcfa574d67" ] } ], "mendeley" : { "formattedCitation" : "(5)", "plainTextFormattedCitation" : "(5)", "previouslyFormattedCitation" : "(Sar et al., 2006)" }, "properties" : { "noteIndex" : 0 }, "schema" : "https://github.com/citation-style-language/schema/raw/master/csl-citation.json" }</w:instrText>
            </w:r>
            <w:r>
              <w:rPr>
                <w:rFonts w:ascii="Arial" w:eastAsia="Times New Roman" w:hAnsi="Arial" w:cs="Arial"/>
                <w:color w:val="000000"/>
                <w:sz w:val="20"/>
                <w:szCs w:val="20"/>
                <w:lang w:val="nl-NL" w:eastAsia="en-GB"/>
              </w:rPr>
              <w:fldChar w:fldCharType="separate"/>
            </w:r>
            <w:r w:rsidR="00DB3ECC">
              <w:rPr>
                <w:rFonts w:ascii="Arial" w:eastAsia="Times New Roman" w:hAnsi="Arial" w:cs="Arial"/>
                <w:noProof/>
                <w:color w:val="000000"/>
                <w:sz w:val="20"/>
                <w:szCs w:val="20"/>
                <w:lang w:val="nl-NL" w:eastAsia="en-GB"/>
              </w:rPr>
              <w:t>[</w:t>
            </w:r>
            <w:r w:rsidR="00D61F98" w:rsidRPr="00D61F98">
              <w:rPr>
                <w:rFonts w:ascii="Arial" w:eastAsia="Times New Roman" w:hAnsi="Arial" w:cs="Arial"/>
                <w:noProof/>
                <w:color w:val="000000"/>
                <w:sz w:val="20"/>
                <w:szCs w:val="20"/>
                <w:lang w:val="nl-NL" w:eastAsia="en-GB"/>
              </w:rPr>
              <w:t>5)</w:t>
            </w:r>
            <w:r>
              <w:rPr>
                <w:rFonts w:ascii="Arial" w:eastAsia="Times New Roman" w:hAnsi="Arial" w:cs="Arial"/>
                <w:color w:val="000000"/>
                <w:sz w:val="20"/>
                <w:szCs w:val="20"/>
                <w:lang w:val="nl-NL" w:eastAsia="en-GB"/>
              </w:rPr>
              <w:fldChar w:fldCharType="end"/>
            </w:r>
          </w:p>
        </w:tc>
      </w:tr>
      <w:tr w:rsidR="00F13E43" w:rsidRPr="000C06D3" w:rsidTr="00124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FFFFFF" w:themeColor="background1"/>
              <w:right w:val="single" w:sz="4" w:space="0" w:color="FFFFFF" w:themeColor="background1"/>
            </w:tcBorders>
            <w:vAlign w:val="center"/>
          </w:tcPr>
          <w:p w:rsidR="00F13E43" w:rsidRPr="008D2060" w:rsidRDefault="00F13E43" w:rsidP="00124A6C">
            <w:pPr>
              <w:rPr>
                <w:rFonts w:ascii="Arial" w:eastAsia="Times New Roman" w:hAnsi="Arial" w:cs="Arial"/>
                <w:color w:val="000000"/>
                <w:sz w:val="20"/>
                <w:szCs w:val="20"/>
                <w:lang w:val="nl-NL" w:eastAsia="en-GB"/>
              </w:rPr>
            </w:pPr>
          </w:p>
        </w:tc>
        <w:tc>
          <w:tcPr>
            <w:tcW w:w="1372" w:type="dxa"/>
            <w:vMerge/>
            <w:vAlign w:val="center"/>
          </w:tcPr>
          <w:p w:rsidR="00F13E43" w:rsidRPr="008D2060" w:rsidRDefault="00F13E43" w:rsidP="00124A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nl-NL" w:eastAsia="en-GB"/>
              </w:rPr>
            </w:pPr>
          </w:p>
        </w:tc>
        <w:tc>
          <w:tcPr>
            <w:tcW w:w="1287" w:type="dxa"/>
          </w:tcPr>
          <w:p w:rsidR="00F13E43" w:rsidRPr="00527BC5" w:rsidRDefault="00F13E43" w:rsidP="00124A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eastAsia="en-GB"/>
              </w:rPr>
            </w:pPr>
            <w:r w:rsidRPr="00527BC5">
              <w:rPr>
                <w:rFonts w:ascii="Arial" w:eastAsia="Times New Roman" w:hAnsi="Arial" w:cs="Arial"/>
                <w:color w:val="000000"/>
                <w:sz w:val="20"/>
                <w:szCs w:val="20"/>
                <w:lang w:val="en-US" w:eastAsia="en-GB"/>
              </w:rPr>
              <w:t>sMO2-myd88</w:t>
            </w:r>
          </w:p>
        </w:tc>
        <w:tc>
          <w:tcPr>
            <w:tcW w:w="2444" w:type="dxa"/>
            <w:vAlign w:val="bottom"/>
          </w:tcPr>
          <w:p w:rsidR="00F13E43" w:rsidRPr="00527BC5" w:rsidRDefault="00F13E43" w:rsidP="00124A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eastAsia="en-GB"/>
              </w:rPr>
            </w:pPr>
            <w:r w:rsidRPr="00527BC5">
              <w:rPr>
                <w:rFonts w:ascii="Arial" w:eastAsia="Times New Roman" w:hAnsi="Arial" w:cs="Arial"/>
                <w:color w:val="000000"/>
                <w:sz w:val="20"/>
                <w:szCs w:val="20"/>
                <w:lang w:val="en-US" w:eastAsia="en-GB"/>
              </w:rPr>
              <w:t>5'-GTTAAACACTGACCCTGTGGATCAT-3'</w:t>
            </w:r>
          </w:p>
        </w:tc>
        <w:tc>
          <w:tcPr>
            <w:tcW w:w="947" w:type="dxa"/>
          </w:tcPr>
          <w:p w:rsidR="00F13E43" w:rsidRPr="00527BC5" w:rsidRDefault="00F13E43" w:rsidP="00124A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eastAsia="en-GB"/>
              </w:rPr>
            </w:pPr>
            <w:r w:rsidRPr="00527BC5">
              <w:rPr>
                <w:rFonts w:ascii="Arial" w:eastAsia="Times New Roman" w:hAnsi="Arial" w:cs="Arial"/>
                <w:color w:val="000000"/>
                <w:sz w:val="20"/>
                <w:szCs w:val="20"/>
                <w:lang w:val="en-US" w:eastAsia="en-GB"/>
              </w:rPr>
              <w:t>E2-I2</w:t>
            </w:r>
          </w:p>
        </w:tc>
        <w:tc>
          <w:tcPr>
            <w:tcW w:w="1003" w:type="dxa"/>
          </w:tcPr>
          <w:p w:rsidR="00F13E43" w:rsidRPr="00527BC5" w:rsidRDefault="00F13E43" w:rsidP="00124A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eastAsia="en-GB"/>
              </w:rPr>
            </w:pPr>
            <w:r w:rsidRPr="00527BC5">
              <w:rPr>
                <w:rFonts w:ascii="Arial" w:eastAsia="Times New Roman" w:hAnsi="Arial" w:cs="Arial"/>
                <w:color w:val="000000"/>
                <w:sz w:val="20"/>
                <w:szCs w:val="20"/>
                <w:lang w:val="en-US" w:eastAsia="en-GB"/>
              </w:rPr>
              <w:t>0,5</w:t>
            </w:r>
          </w:p>
        </w:tc>
        <w:tc>
          <w:tcPr>
            <w:tcW w:w="1276" w:type="dxa"/>
            <w:tcBorders>
              <w:right w:val="single" w:sz="4" w:space="0" w:color="FFFFFF" w:themeColor="background1"/>
            </w:tcBorders>
            <w:vAlign w:val="center"/>
          </w:tcPr>
          <w:p w:rsidR="00F13E43" w:rsidRPr="00D535E5" w:rsidRDefault="00F13E43" w:rsidP="00DB3EC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nl-NL" w:eastAsia="en-GB"/>
              </w:rPr>
            </w:pPr>
            <w:r>
              <w:rPr>
                <w:rFonts w:ascii="Arial" w:eastAsia="Times New Roman" w:hAnsi="Arial" w:cs="Arial"/>
                <w:color w:val="000000"/>
                <w:sz w:val="20"/>
                <w:szCs w:val="20"/>
                <w:lang w:val="nl-NL" w:eastAsia="en-GB"/>
              </w:rPr>
              <w:fldChar w:fldCharType="begin" w:fldLock="1"/>
            </w:r>
            <w:r w:rsidR="00D61F98">
              <w:rPr>
                <w:rFonts w:ascii="Arial" w:eastAsia="Times New Roman" w:hAnsi="Arial" w:cs="Arial"/>
                <w:color w:val="000000"/>
                <w:sz w:val="20"/>
                <w:szCs w:val="20"/>
                <w:lang w:val="nl-NL" w:eastAsia="en-GB"/>
              </w:rPr>
              <w:instrText>ADDIN CSL_CITATION { "citationItems" : [ { "id" : "ITEM-1", "itemData" : { "DOI" : "10.1242/dmm.010843", "ISSN" : "1754-8411", "PMID" : "23471913", "abstract" : "Toll-like receptors (TLRs) are an important class of pattern recognition receptors (PRRs) that recognize microbial and danger signals. Their downstream signaling upon ligand binding is vital for initiation of the innate immune response. In human and mammalian models, myeloid differentiation factor 88 (MYD88) is known for its central role as an adaptor molecule in interleukin 1 receptor (IL-1R) and TLR signaling. The zebrafish is increasingly used as a complementary model system for disease research and drug screening. Here, we describe a zebrafish line with a truncated version of MyD88 as the first zebrafish mutant for a TLR signaling component. We show that this immune-compromised mutant has a lower survival rate under standard rearing conditions and is more susceptible to challenge with the acute bacterial pathogens Edwardsiella tarda and Salmonella typhimurium. Microarray and quantitative PCR analysis revealed that expression of genes for transcription factors central to innate immunity (including NF-\u0138B and AP-1) and the pro-inflammatory cytokine Il1b, is dependent on MyD88 signaling during these bacterial infections. Nevertheless, expression of immune genes independent of MyD88 in the myd88 mutant line was sufficient to limit growth of an attenuated S. typhimurium strain. In the case of infection with the chronic bacterial pathogen Mycobacterium marinum, we show that MyD88 signaling has an important protective role during early pathogenesis. During mycobacterial infection, the myd88 mutant shows accelerated formation of granuloma-like aggregates and increased bacterial burden, with associated lower induction of genes central to innate immunity. This zebrafish myd88 mutant will be a valuable tool for further study of the role of IL1R and TLR signaling in the innate immunity processes underlying infectious diseases, inflammatory disorders and cancer.", "author" : [ { "dropping-particle" : "", "family" : "Vaart", "given" : "Michiel", "non-dropping-particle" : "van der", "parse-names" : false, "suffix" : "" }, { "dropping-particle" : "", "family" : "Soest", "given" : "Joost J", "non-dropping-particle" : "van", "parse-names" : false, "suffix" : "" }, { "dropping-particle" : "", "family" : "Spaink", "given" : "Herman P", "non-dropping-particle" : "", "parse-names" : false, "suffix" : "" }, { "dropping-particle" : "", "family" : "Meijer", "given" : "Annemarie H", "non-dropping-particle" : "", "parse-names" : false, "suffix" : "" } ], "container-title" : "Disease models &amp; mechanisms", "id" : "ITEM-1", "issue" : "3", "issued" : { "date-parts" : [ [ "2013" ] ] }, "page" : "841-54", "title" : "Functional analysis of a zebrafish myd88 mutant identifies key transcriptional components of the innate immune system.", "type" : "article-journal", "volume" : "6" }, "uris" : [ "http://www.mendeley.com/documents/?uuid=23a65a25-62d9-4eea-8666-7d673956a84f" ] } ], "mendeley" : { "formattedCitation" : "(6)", "plainTextFormattedCitation" : "(6)", "previouslyFormattedCitation" : "(van der Vaart et al., 2013)" }, "properties" : { "noteIndex" : 0 }, "schema" : "https://github.com/citation-style-language/schema/raw/master/csl-citation.json" }</w:instrText>
            </w:r>
            <w:r>
              <w:rPr>
                <w:rFonts w:ascii="Arial" w:eastAsia="Times New Roman" w:hAnsi="Arial" w:cs="Arial"/>
                <w:color w:val="000000"/>
                <w:sz w:val="20"/>
                <w:szCs w:val="20"/>
                <w:lang w:val="nl-NL" w:eastAsia="en-GB"/>
              </w:rPr>
              <w:fldChar w:fldCharType="separate"/>
            </w:r>
            <w:r w:rsidR="00DB3ECC">
              <w:rPr>
                <w:rFonts w:ascii="Arial" w:eastAsia="Times New Roman" w:hAnsi="Arial" w:cs="Arial"/>
                <w:noProof/>
                <w:color w:val="000000"/>
                <w:sz w:val="20"/>
                <w:szCs w:val="20"/>
                <w:lang w:val="nl-NL" w:eastAsia="en-GB"/>
              </w:rPr>
              <w:t>[</w:t>
            </w:r>
            <w:r w:rsidR="00D61F98" w:rsidRPr="00D61F98">
              <w:rPr>
                <w:rFonts w:ascii="Arial" w:eastAsia="Times New Roman" w:hAnsi="Arial" w:cs="Arial"/>
                <w:noProof/>
                <w:color w:val="000000"/>
                <w:sz w:val="20"/>
                <w:szCs w:val="20"/>
                <w:lang w:val="nl-NL" w:eastAsia="en-GB"/>
              </w:rPr>
              <w:t>6</w:t>
            </w:r>
            <w:r>
              <w:rPr>
                <w:rFonts w:ascii="Arial" w:eastAsia="Times New Roman" w:hAnsi="Arial" w:cs="Arial"/>
                <w:color w:val="000000"/>
                <w:sz w:val="20"/>
                <w:szCs w:val="20"/>
                <w:lang w:val="nl-NL" w:eastAsia="en-GB"/>
              </w:rPr>
              <w:fldChar w:fldCharType="end"/>
            </w:r>
            <w:r w:rsidR="00DB3ECC">
              <w:rPr>
                <w:rFonts w:ascii="Arial" w:eastAsia="Times New Roman" w:hAnsi="Arial" w:cs="Arial"/>
                <w:color w:val="000000"/>
                <w:sz w:val="20"/>
                <w:szCs w:val="20"/>
                <w:lang w:val="nl-NL" w:eastAsia="en-GB"/>
              </w:rPr>
              <w:t>]</w:t>
            </w:r>
          </w:p>
        </w:tc>
      </w:tr>
      <w:tr w:rsidR="00F13E43" w:rsidRPr="000C06D3" w:rsidTr="00124A6C">
        <w:tc>
          <w:tcPr>
            <w:cnfStyle w:val="001000000000" w:firstRow="0" w:lastRow="0" w:firstColumn="1" w:lastColumn="0" w:oddVBand="0" w:evenVBand="0" w:oddHBand="0" w:evenHBand="0" w:firstRowFirstColumn="0" w:firstRowLastColumn="0" w:lastRowFirstColumn="0" w:lastRowLastColumn="0"/>
            <w:tcW w:w="993" w:type="dxa"/>
            <w:tcBorders>
              <w:left w:val="single" w:sz="4" w:space="0" w:color="FFFFFF" w:themeColor="background1"/>
              <w:right w:val="single" w:sz="4" w:space="0" w:color="FFFFFF" w:themeColor="background1"/>
            </w:tcBorders>
            <w:vAlign w:val="center"/>
          </w:tcPr>
          <w:p w:rsidR="00F13E43" w:rsidRPr="00895620" w:rsidRDefault="00F13E43" w:rsidP="00124A6C">
            <w:pPr>
              <w:rPr>
                <w:rFonts w:ascii="Arial" w:eastAsia="Times New Roman" w:hAnsi="Arial" w:cs="Arial"/>
                <w:color w:val="000000"/>
                <w:sz w:val="20"/>
                <w:szCs w:val="20"/>
                <w:lang w:val="nl-NL" w:eastAsia="en-GB"/>
              </w:rPr>
            </w:pPr>
          </w:p>
        </w:tc>
        <w:tc>
          <w:tcPr>
            <w:tcW w:w="1372" w:type="dxa"/>
            <w:vAlign w:val="center"/>
          </w:tcPr>
          <w:p w:rsidR="00F13E43" w:rsidRPr="00895620" w:rsidRDefault="00F13E43" w:rsidP="00124A6C">
            <w:pPr>
              <w:ind w:firstLineChars="100" w:firstLine="2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szCs w:val="20"/>
                <w:lang w:val="nl-NL" w:eastAsia="en-GB"/>
              </w:rPr>
            </w:pPr>
            <w:r w:rsidRPr="00895620">
              <w:rPr>
                <w:rFonts w:ascii="Arial" w:eastAsia="Times New Roman" w:hAnsi="Arial" w:cs="Arial"/>
                <w:i/>
                <w:iCs/>
                <w:color w:val="000000"/>
                <w:sz w:val="20"/>
                <w:szCs w:val="20"/>
                <w:lang w:val="nl-NL" w:eastAsia="en-GB"/>
              </w:rPr>
              <w:t> </w:t>
            </w:r>
          </w:p>
        </w:tc>
        <w:tc>
          <w:tcPr>
            <w:tcW w:w="1287" w:type="dxa"/>
          </w:tcPr>
          <w:p w:rsidR="00F13E43" w:rsidRPr="00463C78" w:rsidRDefault="00F13E43" w:rsidP="00124A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eastAsia="en-GB"/>
              </w:rPr>
            </w:pPr>
            <w:r w:rsidRPr="00463C78">
              <w:rPr>
                <w:rFonts w:ascii="Arial" w:eastAsia="Times New Roman" w:hAnsi="Arial" w:cs="Arial"/>
                <w:color w:val="000000"/>
                <w:sz w:val="20"/>
                <w:szCs w:val="20"/>
                <w:lang w:val="en-US" w:eastAsia="en-GB"/>
              </w:rPr>
              <w:t xml:space="preserve">standard control </w:t>
            </w:r>
            <w:proofErr w:type="spellStart"/>
            <w:r w:rsidRPr="00463C78">
              <w:rPr>
                <w:rFonts w:ascii="Arial" w:eastAsia="Times New Roman" w:hAnsi="Arial" w:cs="Arial"/>
                <w:color w:val="000000"/>
                <w:sz w:val="20"/>
                <w:szCs w:val="20"/>
                <w:lang w:val="en-US" w:eastAsia="en-GB"/>
              </w:rPr>
              <w:t>morpholino</w:t>
            </w:r>
            <w:proofErr w:type="spellEnd"/>
          </w:p>
        </w:tc>
        <w:tc>
          <w:tcPr>
            <w:tcW w:w="2444" w:type="dxa"/>
            <w:vAlign w:val="center"/>
          </w:tcPr>
          <w:p w:rsidR="00F13E43" w:rsidRPr="00463C78" w:rsidRDefault="00F13E43" w:rsidP="00124A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r w:rsidRPr="00463C78">
              <w:rPr>
                <w:rFonts w:ascii="Arial" w:eastAsia="Times New Roman" w:hAnsi="Arial" w:cs="Arial"/>
                <w:color w:val="000000"/>
                <w:sz w:val="20"/>
                <w:szCs w:val="20"/>
                <w:lang w:val="en-US" w:eastAsia="en-GB"/>
              </w:rPr>
              <w:t>5'-CCTCTTACCTCAGTTACAATTTATA-3'</w:t>
            </w:r>
          </w:p>
        </w:tc>
        <w:tc>
          <w:tcPr>
            <w:tcW w:w="947" w:type="dxa"/>
          </w:tcPr>
          <w:p w:rsidR="00F13E43" w:rsidRPr="00463C78" w:rsidRDefault="00F13E43" w:rsidP="00124A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r w:rsidRPr="00463C78">
              <w:rPr>
                <w:rFonts w:ascii="Arial" w:eastAsia="Times New Roman" w:hAnsi="Arial" w:cs="Arial"/>
                <w:color w:val="000000"/>
                <w:sz w:val="20"/>
                <w:szCs w:val="20"/>
                <w:lang w:val="en-US" w:eastAsia="en-GB"/>
              </w:rPr>
              <w:t> </w:t>
            </w:r>
          </w:p>
        </w:tc>
        <w:tc>
          <w:tcPr>
            <w:tcW w:w="1003" w:type="dxa"/>
          </w:tcPr>
          <w:p w:rsidR="00F13E43" w:rsidRPr="00463C78" w:rsidRDefault="00F13E43" w:rsidP="00124A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r w:rsidRPr="00463C78">
              <w:rPr>
                <w:rFonts w:ascii="Arial" w:eastAsia="Times New Roman" w:hAnsi="Arial" w:cs="Arial"/>
                <w:color w:val="000000"/>
                <w:sz w:val="20"/>
                <w:szCs w:val="20"/>
                <w:lang w:val="en-US" w:eastAsia="en-GB"/>
              </w:rPr>
              <w:t>0,8</w:t>
            </w:r>
          </w:p>
        </w:tc>
        <w:tc>
          <w:tcPr>
            <w:tcW w:w="1276" w:type="dxa"/>
            <w:tcBorders>
              <w:right w:val="single" w:sz="4" w:space="0" w:color="FFFFFF" w:themeColor="background1"/>
            </w:tcBorders>
            <w:vAlign w:val="center"/>
          </w:tcPr>
          <w:p w:rsidR="00F13E43" w:rsidRPr="00463C78" w:rsidRDefault="00F13E43" w:rsidP="00124A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eastAsia="en-GB"/>
              </w:rPr>
            </w:pPr>
          </w:p>
        </w:tc>
      </w:tr>
    </w:tbl>
    <w:p w:rsidR="00704ADA" w:rsidRPr="00427745" w:rsidRDefault="00704ADA" w:rsidP="00704ADA">
      <w:pPr>
        <w:spacing w:after="0"/>
        <w:rPr>
          <w:rFonts w:ascii="Arial" w:hAnsi="Arial" w:cs="Arial"/>
          <w:b/>
          <w:color w:val="FF0000"/>
          <w:sz w:val="20"/>
          <w:lang w:val="en-US"/>
        </w:rPr>
      </w:pPr>
      <w:proofErr w:type="spellStart"/>
      <w:proofErr w:type="gramStart"/>
      <w:r w:rsidRPr="00427745">
        <w:rPr>
          <w:rFonts w:ascii="Arial" w:hAnsi="Arial" w:cs="Arial"/>
          <w:sz w:val="20"/>
          <w:vertAlign w:val="superscript"/>
          <w:lang w:val="en-US"/>
        </w:rPr>
        <w:t>a</w:t>
      </w:r>
      <w:proofErr w:type="spellEnd"/>
      <w:proofErr w:type="gramEnd"/>
      <w:r w:rsidRPr="00427745">
        <w:rPr>
          <w:rFonts w:ascii="Arial" w:hAnsi="Arial" w:cs="Arial"/>
          <w:sz w:val="20"/>
          <w:lang w:val="en-US"/>
        </w:rPr>
        <w:t xml:space="preserve"> For </w:t>
      </w:r>
      <w:r w:rsidRPr="008F68FE">
        <w:rPr>
          <w:rFonts w:ascii="Arial" w:hAnsi="Arial" w:cs="Arial"/>
          <w:sz w:val="20"/>
          <w:lang w:val="en-US"/>
        </w:rPr>
        <w:t xml:space="preserve">pu.1 </w:t>
      </w:r>
      <w:r w:rsidRPr="00427745">
        <w:rPr>
          <w:rFonts w:ascii="Arial" w:hAnsi="Arial" w:cs="Arial"/>
          <w:sz w:val="20"/>
          <w:lang w:val="en-US"/>
        </w:rPr>
        <w:t xml:space="preserve">and </w:t>
      </w:r>
      <w:r w:rsidRPr="008F68FE">
        <w:rPr>
          <w:rFonts w:ascii="Arial" w:hAnsi="Arial" w:cs="Arial"/>
          <w:sz w:val="20"/>
          <w:lang w:val="en-US"/>
        </w:rPr>
        <w:t>myd88</w:t>
      </w:r>
      <w:r w:rsidRPr="00427745">
        <w:rPr>
          <w:rFonts w:ascii="Arial" w:hAnsi="Arial" w:cs="Arial"/>
          <w:sz w:val="20"/>
          <w:lang w:val="en-US"/>
        </w:rPr>
        <w:t xml:space="preserve"> knockdown, the injection solution was a mix between </w:t>
      </w:r>
      <w:proofErr w:type="spellStart"/>
      <w:r w:rsidRPr="00427745">
        <w:rPr>
          <w:rFonts w:ascii="Arial" w:hAnsi="Arial" w:cs="Arial"/>
          <w:sz w:val="20"/>
          <w:lang w:val="en-US"/>
        </w:rPr>
        <w:t>tMO</w:t>
      </w:r>
      <w:proofErr w:type="spellEnd"/>
      <w:r w:rsidRPr="00427745">
        <w:rPr>
          <w:rFonts w:ascii="Arial" w:hAnsi="Arial" w:cs="Arial"/>
          <w:sz w:val="20"/>
          <w:lang w:val="en-US"/>
        </w:rPr>
        <w:t xml:space="preserve"> and </w:t>
      </w:r>
      <w:proofErr w:type="spellStart"/>
      <w:r w:rsidRPr="00427745">
        <w:rPr>
          <w:rFonts w:ascii="Arial" w:hAnsi="Arial" w:cs="Arial"/>
          <w:sz w:val="20"/>
          <w:lang w:val="en-US"/>
        </w:rPr>
        <w:t>sMO</w:t>
      </w:r>
      <w:proofErr w:type="spellEnd"/>
      <w:r w:rsidRPr="00427745">
        <w:rPr>
          <w:rFonts w:ascii="Arial" w:hAnsi="Arial" w:cs="Arial"/>
          <w:sz w:val="20"/>
          <w:lang w:val="en-US"/>
        </w:rPr>
        <w:t xml:space="preserve">. For pu.1, the indicated combination of </w:t>
      </w:r>
      <w:proofErr w:type="spellStart"/>
      <w:r w:rsidRPr="00427745">
        <w:rPr>
          <w:rFonts w:ascii="Arial" w:hAnsi="Arial" w:cs="Arial"/>
          <w:sz w:val="20"/>
          <w:lang w:val="en-US"/>
        </w:rPr>
        <w:t>sMO</w:t>
      </w:r>
      <w:proofErr w:type="spellEnd"/>
      <w:r w:rsidRPr="00427745">
        <w:rPr>
          <w:rFonts w:ascii="Arial" w:hAnsi="Arial" w:cs="Arial"/>
          <w:sz w:val="20"/>
          <w:lang w:val="en-US"/>
        </w:rPr>
        <w:t>/</w:t>
      </w:r>
      <w:proofErr w:type="spellStart"/>
      <w:r w:rsidRPr="00427745">
        <w:rPr>
          <w:rFonts w:ascii="Arial" w:hAnsi="Arial" w:cs="Arial"/>
          <w:sz w:val="20"/>
          <w:lang w:val="en-US"/>
        </w:rPr>
        <w:t>tMO</w:t>
      </w:r>
      <w:proofErr w:type="spellEnd"/>
      <w:r w:rsidRPr="00427745">
        <w:rPr>
          <w:rFonts w:ascii="Arial" w:hAnsi="Arial" w:cs="Arial"/>
          <w:sz w:val="20"/>
          <w:lang w:val="en-US"/>
        </w:rPr>
        <w:t xml:space="preserve"> allows the specific ablation of macrophages, without affecting neutrophils</w:t>
      </w:r>
      <w:r>
        <w:rPr>
          <w:rFonts w:ascii="Arial" w:hAnsi="Arial" w:cs="Arial"/>
          <w:sz w:val="20"/>
          <w:lang w:val="en-US"/>
        </w:rPr>
        <w:t xml:space="preserve"> </w:t>
      </w:r>
      <w:r>
        <w:rPr>
          <w:rFonts w:ascii="Arial" w:hAnsi="Arial" w:cs="Arial"/>
          <w:sz w:val="20"/>
          <w:lang w:val="en-US"/>
        </w:rPr>
        <w:fldChar w:fldCharType="begin" w:fldLock="1"/>
      </w:r>
      <w:r w:rsidR="00D61F98">
        <w:rPr>
          <w:rFonts w:ascii="Arial" w:hAnsi="Arial" w:cs="Arial"/>
          <w:sz w:val="20"/>
          <w:lang w:val="en-US"/>
        </w:rPr>
        <w:instrText>ADDIN CSL_CITATION { "citationItems" : [ { "id" : "ITEM-1", "itemData" : { "DOI" : "10.1089/zeb.2007.0505", "ISSN" : "1557-8542", "PMID" : "18041923", "abstract" : "The zebrafish has become a powerful tool for analysis of vertebrate hematopoiesis. Zebrafish, unlike mammals, have a robust primitive myeloid pathway that generates both granulocytes and macrophages. It is not clear how this unique primitive myeloid pathway relates to mammalian definitive hematopoiesis. In this study, we show that the two myeloid subsets can be distinguished using RNA in situ hybridization. Using a morpholino-antisense gene knockdown approach, we have characterized the hematopoietic defects resulting from knockdown of the myeloid transcription factor gene pu.1 and the unique zebrafish gene c/ebp1. Severe reduction of pu.1 resulted in complete loss of primitive macrophage development, with effects on granulocyte development only with maximal knockdown. Reduction of c/ebp1 did not ablate initial macrophage or granulocyte development, but resulted in loss of expression of the secondary granule gene lys C. These data reveal strong functional conservation of pu.1 between zebrafish primitive myelopoiesis and mammalian definitive myelopoiesis. Further, these results are consistent with a conserved role between c/ebp1 and mammalian C/EBPE, whose ortholog in zebrafish has not been identified. These studies validate the examination of zebrafish primitive myeloid development as a model for human myelopoiesis, and form a framework for identification and analysis of myeloid mutants.", "author" : [ { "dropping-particle" : "", "family" : "Su", "given" : "Fengyun", "non-dropping-particle" : "", "parse-names" : false, "suffix" : "" }, { "dropping-particle" : "", "family" : "Juarez", "given" : "Marianne a", "non-dropping-particle" : "", "parse-names" : false, "suffix" : "" }, { "dropping-particle" : "", "family" : "Cooke", "given" : "Christopher L", "non-dropping-particle" : "", "parse-names" : false, "suffix" : "" }, { "dropping-particle" : "", "family" : "Lapointe", "given" : "Lisa", "non-dropping-particle" : "", "parse-names" : false, "suffix" : "" }, { "dropping-particle" : "", "family" : "Shavit", "given" : "Jordan a", "non-dropping-particle" : "", "parse-names" : false, "suffix" : "" }, { "dropping-particle" : "", "family" : "Yamaoka", "given" : "Jennifer S", "non-dropping-particle" : "", "parse-names" : false, "suffix" : "" }, { "dropping-particle" : "", "family" : "Lyons", "given" : "Susan E", "non-dropping-particle" : "", "parse-names" : false, "suffix" : "" } ], "container-title" : "Zebrafish", "id" : "ITEM-1", "issue" : "3", "issued" : { "date-parts" : [ [ "2007", "1" ] ] }, "page" : "187-99", "title" : "Differential regulation of primitive myelopoiesis in the zebrafish by Spi-1/Pu.1 and C/ebp1.", "type" : "article-journal", "volume" : "4" }, "uris" : [ "http://www.mendeley.com/documents/?uuid=bad58257-3747-4e24-8fac-ff3f02a8283a" ] } ], "mendeley" : { "formattedCitation" : "(7)", "plainTextFormattedCitation" : "(7)", "previouslyFormattedCitation" : "(Su et al., 2007)" }, "properties" : { "noteIndex" : 0 }, "schema" : "https://github.com/citation-style-language/schema/raw/master/csl-citation.json" }</w:instrText>
      </w:r>
      <w:r>
        <w:rPr>
          <w:rFonts w:ascii="Arial" w:hAnsi="Arial" w:cs="Arial"/>
          <w:sz w:val="20"/>
          <w:lang w:val="en-US"/>
        </w:rPr>
        <w:fldChar w:fldCharType="separate"/>
      </w:r>
      <w:r w:rsidR="00DB3ECC">
        <w:rPr>
          <w:rFonts w:ascii="Arial" w:hAnsi="Arial" w:cs="Arial"/>
          <w:noProof/>
          <w:sz w:val="20"/>
          <w:lang w:val="en-US"/>
        </w:rPr>
        <w:t>[</w:t>
      </w:r>
      <w:r w:rsidR="00D61F98" w:rsidRPr="00D61F98">
        <w:rPr>
          <w:rFonts w:ascii="Arial" w:hAnsi="Arial" w:cs="Arial"/>
          <w:noProof/>
          <w:sz w:val="20"/>
          <w:lang w:val="en-US"/>
        </w:rPr>
        <w:t>7</w:t>
      </w:r>
      <w:r>
        <w:rPr>
          <w:rFonts w:ascii="Arial" w:hAnsi="Arial" w:cs="Arial"/>
          <w:sz w:val="20"/>
          <w:lang w:val="en-US"/>
        </w:rPr>
        <w:fldChar w:fldCharType="end"/>
      </w:r>
      <w:r w:rsidR="00DB3ECC">
        <w:rPr>
          <w:rFonts w:ascii="Arial" w:hAnsi="Arial" w:cs="Arial"/>
          <w:sz w:val="20"/>
          <w:lang w:val="en-US"/>
        </w:rPr>
        <w:t>]</w:t>
      </w:r>
      <w:r>
        <w:rPr>
          <w:rFonts w:ascii="Arial" w:hAnsi="Arial" w:cs="Arial"/>
          <w:sz w:val="20"/>
          <w:lang w:val="en-US"/>
        </w:rPr>
        <w:t>.</w:t>
      </w:r>
    </w:p>
    <w:p w:rsidR="00704ADA" w:rsidRDefault="00704ADA" w:rsidP="00704ADA">
      <w:pPr>
        <w:rPr>
          <w:rFonts w:ascii="Arial" w:hAnsi="Arial" w:cs="Arial"/>
          <w:sz w:val="20"/>
          <w:lang w:val="en-US"/>
        </w:rPr>
      </w:pPr>
      <w:proofErr w:type="gramStart"/>
      <w:r w:rsidRPr="00427745">
        <w:rPr>
          <w:rFonts w:ascii="Arial" w:hAnsi="Arial" w:cs="Arial"/>
          <w:sz w:val="20"/>
          <w:vertAlign w:val="superscript"/>
          <w:lang w:val="en-US"/>
        </w:rPr>
        <w:t>b</w:t>
      </w:r>
      <w:proofErr w:type="gramEnd"/>
      <w:r w:rsidRPr="00427745">
        <w:rPr>
          <w:rFonts w:ascii="Arial" w:hAnsi="Arial" w:cs="Arial"/>
          <w:sz w:val="20"/>
          <w:lang w:val="en-US"/>
        </w:rPr>
        <w:t xml:space="preserve"> [   ] = concentration; all MOs were injected at 1nL.</w:t>
      </w:r>
    </w:p>
    <w:p w:rsidR="00D61F98" w:rsidRDefault="00D61F98" w:rsidP="00D61F98">
      <w:pPr>
        <w:widowControl w:val="0"/>
        <w:autoSpaceDE w:val="0"/>
        <w:autoSpaceDN w:val="0"/>
        <w:adjustRightInd w:val="0"/>
        <w:spacing w:line="240" w:lineRule="auto"/>
        <w:ind w:left="640" w:hanging="640"/>
        <w:rPr>
          <w:rFonts w:ascii="Arial" w:hAnsi="Arial" w:cs="Arial"/>
          <w:sz w:val="20"/>
          <w:lang w:val="en-US"/>
        </w:rPr>
      </w:pPr>
      <w:r>
        <w:rPr>
          <w:rFonts w:ascii="Arial" w:hAnsi="Arial" w:cs="Arial"/>
          <w:sz w:val="20"/>
          <w:lang w:val="en-US"/>
        </w:rPr>
        <w:t>References</w:t>
      </w:r>
    </w:p>
    <w:p w:rsidR="00D61F98" w:rsidRDefault="006D6C76" w:rsidP="00D61F98">
      <w:pPr>
        <w:widowControl w:val="0"/>
        <w:autoSpaceDE w:val="0"/>
        <w:autoSpaceDN w:val="0"/>
        <w:adjustRightInd w:val="0"/>
        <w:spacing w:after="0" w:line="240" w:lineRule="auto"/>
        <w:ind w:left="640" w:hanging="640"/>
        <w:rPr>
          <w:rFonts w:ascii="Arial" w:hAnsi="Arial" w:cs="Arial"/>
          <w:noProof/>
          <w:sz w:val="20"/>
          <w:szCs w:val="24"/>
          <w:lang w:val="en-GB"/>
        </w:rPr>
      </w:pPr>
      <w:r>
        <w:rPr>
          <w:rFonts w:ascii="Arial" w:hAnsi="Arial" w:cs="Arial"/>
          <w:sz w:val="20"/>
          <w:lang w:val="en-US"/>
        </w:rPr>
        <w:fldChar w:fldCharType="begin" w:fldLock="1"/>
      </w:r>
      <w:r>
        <w:rPr>
          <w:rFonts w:ascii="Arial" w:hAnsi="Arial" w:cs="Arial"/>
          <w:sz w:val="20"/>
          <w:lang w:val="en-US"/>
        </w:rPr>
        <w:instrText xml:space="preserve">ADDIN Mendeley Bibliography CSL_BIBLIOGRAPHY </w:instrText>
      </w:r>
      <w:r>
        <w:rPr>
          <w:rFonts w:ascii="Arial" w:hAnsi="Arial" w:cs="Arial"/>
          <w:sz w:val="20"/>
          <w:lang w:val="en-US"/>
        </w:rPr>
        <w:fldChar w:fldCharType="separate"/>
      </w:r>
      <w:r w:rsidR="00D61F98" w:rsidRPr="00DB3ECC">
        <w:rPr>
          <w:rFonts w:ascii="Arial" w:hAnsi="Arial" w:cs="Arial"/>
          <w:noProof/>
          <w:sz w:val="20"/>
          <w:szCs w:val="24"/>
          <w:lang w:val="en-GB"/>
        </w:rPr>
        <w:t xml:space="preserve">1. </w:t>
      </w:r>
      <w:r w:rsidR="00D61F98" w:rsidRPr="00DB3ECC">
        <w:rPr>
          <w:rFonts w:ascii="Arial" w:hAnsi="Arial" w:cs="Arial"/>
          <w:noProof/>
          <w:sz w:val="20"/>
          <w:szCs w:val="24"/>
          <w:lang w:val="en-GB"/>
        </w:rPr>
        <w:tab/>
      </w:r>
      <w:r w:rsidR="00D61F98" w:rsidRPr="006075DC">
        <w:rPr>
          <w:rFonts w:ascii="Arial" w:hAnsi="Arial" w:cs="Arial"/>
          <w:noProof/>
          <w:sz w:val="20"/>
          <w:szCs w:val="24"/>
          <w:lang w:val="en-GB"/>
        </w:rPr>
        <w:t xml:space="preserve">Clay, H., Davis, J.M., Beery, D., Huttenlocher, A., Lyons, S.E., and Ramakrishnan, L. (2007). Dichotomous role of the macrophage in early </w:t>
      </w:r>
      <w:r w:rsidR="00D61F98" w:rsidRPr="00DB3ECC">
        <w:rPr>
          <w:rFonts w:ascii="Arial" w:hAnsi="Arial" w:cs="Arial"/>
          <w:i/>
          <w:noProof/>
          <w:sz w:val="20"/>
          <w:szCs w:val="24"/>
          <w:lang w:val="en-GB"/>
        </w:rPr>
        <w:t>My</w:t>
      </w:r>
      <w:bookmarkStart w:id="0" w:name="_GoBack"/>
      <w:bookmarkEnd w:id="0"/>
      <w:r w:rsidR="00D61F98" w:rsidRPr="00DB3ECC">
        <w:rPr>
          <w:rFonts w:ascii="Arial" w:hAnsi="Arial" w:cs="Arial"/>
          <w:i/>
          <w:noProof/>
          <w:sz w:val="20"/>
          <w:szCs w:val="24"/>
          <w:lang w:val="en-GB"/>
        </w:rPr>
        <w:t>cobacterium marinum</w:t>
      </w:r>
      <w:r w:rsidR="00D61F98" w:rsidRPr="006075DC">
        <w:rPr>
          <w:rFonts w:ascii="Arial" w:hAnsi="Arial" w:cs="Arial"/>
          <w:noProof/>
          <w:sz w:val="20"/>
          <w:szCs w:val="24"/>
          <w:lang w:val="en-GB"/>
        </w:rPr>
        <w:t xml:space="preserve"> infection of the zebrafish. Cell Host Microbe </w:t>
      </w:r>
      <w:r w:rsidR="00D61F98" w:rsidRPr="006075DC">
        <w:rPr>
          <w:rFonts w:ascii="Arial" w:hAnsi="Arial" w:cs="Arial"/>
          <w:i/>
          <w:iCs/>
          <w:noProof/>
          <w:sz w:val="20"/>
          <w:szCs w:val="24"/>
          <w:lang w:val="en-GB"/>
        </w:rPr>
        <w:t>2</w:t>
      </w:r>
      <w:r w:rsidR="00D61F98" w:rsidRPr="006075DC">
        <w:rPr>
          <w:rFonts w:ascii="Arial" w:hAnsi="Arial" w:cs="Arial"/>
          <w:noProof/>
          <w:sz w:val="20"/>
          <w:szCs w:val="24"/>
          <w:lang w:val="en-GB"/>
        </w:rPr>
        <w:t>, 29–39</w:t>
      </w:r>
    </w:p>
    <w:p w:rsidR="00D61F98" w:rsidRPr="00D61F98" w:rsidRDefault="00D61F98" w:rsidP="00D61F98">
      <w:pPr>
        <w:widowControl w:val="0"/>
        <w:autoSpaceDE w:val="0"/>
        <w:autoSpaceDN w:val="0"/>
        <w:adjustRightInd w:val="0"/>
        <w:spacing w:after="0" w:line="240" w:lineRule="auto"/>
        <w:ind w:left="640" w:hanging="640"/>
        <w:rPr>
          <w:rFonts w:ascii="Arial" w:hAnsi="Arial" w:cs="Arial"/>
          <w:noProof/>
          <w:sz w:val="20"/>
          <w:lang w:val="en-GB"/>
        </w:rPr>
      </w:pPr>
      <w:r w:rsidRPr="00DB3ECC">
        <w:rPr>
          <w:rFonts w:ascii="Arial" w:hAnsi="Arial" w:cs="Arial"/>
          <w:noProof/>
          <w:sz w:val="20"/>
          <w:szCs w:val="24"/>
          <w:lang w:val="en-GB"/>
        </w:rPr>
        <w:t xml:space="preserve">2. </w:t>
      </w:r>
      <w:r w:rsidRPr="00DB3ECC">
        <w:rPr>
          <w:rFonts w:ascii="Arial" w:hAnsi="Arial" w:cs="Arial"/>
          <w:noProof/>
          <w:sz w:val="20"/>
          <w:szCs w:val="24"/>
          <w:lang w:val="en-GB"/>
        </w:rPr>
        <w:tab/>
      </w:r>
      <w:r w:rsidRPr="006075DC">
        <w:rPr>
          <w:rFonts w:ascii="Arial" w:hAnsi="Arial" w:cs="Arial"/>
          <w:noProof/>
          <w:sz w:val="20"/>
          <w:szCs w:val="24"/>
          <w:lang w:val="en-GB"/>
        </w:rPr>
        <w:t>Yang, C.-T., Cambier, C.J., Davis, J.M., Hall, C.J., Crosier, P.S., and Ramakr</w:t>
      </w:r>
      <w:r w:rsidR="000C06D3">
        <w:rPr>
          <w:rFonts w:ascii="Arial" w:hAnsi="Arial" w:cs="Arial"/>
          <w:noProof/>
          <w:sz w:val="20"/>
          <w:szCs w:val="24"/>
          <w:lang w:val="en-GB"/>
        </w:rPr>
        <w:t>ishnan, L. (2012). Neutrophils exert protection in the early tuberculous granuloma by o</w:t>
      </w:r>
      <w:r w:rsidRPr="006075DC">
        <w:rPr>
          <w:rFonts w:ascii="Arial" w:hAnsi="Arial" w:cs="Arial"/>
          <w:noProof/>
          <w:sz w:val="20"/>
          <w:szCs w:val="24"/>
          <w:lang w:val="en-GB"/>
        </w:rPr>
        <w:t xml:space="preserve">xidative </w:t>
      </w:r>
      <w:r w:rsidR="000C06D3">
        <w:rPr>
          <w:rFonts w:ascii="Arial" w:hAnsi="Arial" w:cs="Arial"/>
          <w:noProof/>
          <w:sz w:val="20"/>
          <w:szCs w:val="24"/>
          <w:lang w:val="en-GB"/>
        </w:rPr>
        <w:t>k</w:t>
      </w:r>
      <w:r w:rsidRPr="006075DC">
        <w:rPr>
          <w:rFonts w:ascii="Arial" w:hAnsi="Arial" w:cs="Arial"/>
          <w:noProof/>
          <w:sz w:val="20"/>
          <w:szCs w:val="24"/>
          <w:lang w:val="en-GB"/>
        </w:rPr>
        <w:t xml:space="preserve">illing of Mycobacteria </w:t>
      </w:r>
      <w:r w:rsidR="000C06D3">
        <w:rPr>
          <w:rFonts w:ascii="Arial" w:hAnsi="Arial" w:cs="Arial"/>
          <w:noProof/>
          <w:sz w:val="20"/>
          <w:szCs w:val="24"/>
          <w:lang w:val="en-GB"/>
        </w:rPr>
        <w:t>p</w:t>
      </w:r>
      <w:r w:rsidRPr="006075DC">
        <w:rPr>
          <w:rFonts w:ascii="Arial" w:hAnsi="Arial" w:cs="Arial"/>
          <w:noProof/>
          <w:sz w:val="20"/>
          <w:szCs w:val="24"/>
          <w:lang w:val="en-GB"/>
        </w:rPr>
        <w:t xml:space="preserve">hagocytosed from </w:t>
      </w:r>
      <w:r w:rsidR="000C06D3">
        <w:rPr>
          <w:rFonts w:ascii="Arial" w:hAnsi="Arial" w:cs="Arial"/>
          <w:noProof/>
          <w:sz w:val="20"/>
          <w:szCs w:val="24"/>
          <w:lang w:val="en-GB"/>
        </w:rPr>
        <w:t>infected m</w:t>
      </w:r>
      <w:r w:rsidRPr="006075DC">
        <w:rPr>
          <w:rFonts w:ascii="Arial" w:hAnsi="Arial" w:cs="Arial"/>
          <w:noProof/>
          <w:sz w:val="20"/>
          <w:szCs w:val="24"/>
          <w:lang w:val="en-GB"/>
        </w:rPr>
        <w:t xml:space="preserve">acrophages. </w:t>
      </w:r>
      <w:r w:rsidRPr="00D61F98">
        <w:rPr>
          <w:rFonts w:ascii="Arial" w:hAnsi="Arial" w:cs="Arial"/>
          <w:noProof/>
          <w:sz w:val="20"/>
          <w:szCs w:val="24"/>
          <w:lang w:val="en-GB"/>
        </w:rPr>
        <w:t xml:space="preserve">Cell Host Microbe </w:t>
      </w:r>
      <w:r w:rsidRPr="00D61F98">
        <w:rPr>
          <w:rFonts w:ascii="Arial" w:hAnsi="Arial" w:cs="Arial"/>
          <w:i/>
          <w:iCs/>
          <w:noProof/>
          <w:sz w:val="20"/>
          <w:szCs w:val="24"/>
          <w:lang w:val="en-GB"/>
        </w:rPr>
        <w:t>12</w:t>
      </w:r>
      <w:r w:rsidRPr="00D61F98">
        <w:rPr>
          <w:rFonts w:ascii="Arial" w:hAnsi="Arial" w:cs="Arial"/>
          <w:noProof/>
          <w:sz w:val="20"/>
          <w:szCs w:val="24"/>
          <w:lang w:val="en-GB"/>
        </w:rPr>
        <w:t>, 301–312.</w:t>
      </w:r>
    </w:p>
    <w:p w:rsidR="00D61F98" w:rsidRPr="006075DC" w:rsidRDefault="00D61F98" w:rsidP="00D61F98">
      <w:pPr>
        <w:widowControl w:val="0"/>
        <w:autoSpaceDE w:val="0"/>
        <w:autoSpaceDN w:val="0"/>
        <w:adjustRightInd w:val="0"/>
        <w:spacing w:after="0" w:line="240" w:lineRule="auto"/>
        <w:ind w:left="640" w:hanging="640"/>
        <w:rPr>
          <w:rFonts w:ascii="Arial" w:hAnsi="Arial" w:cs="Arial"/>
          <w:noProof/>
          <w:sz w:val="20"/>
          <w:szCs w:val="24"/>
          <w:lang w:val="en-GB"/>
        </w:rPr>
      </w:pPr>
      <w:r w:rsidRPr="00DB3ECC">
        <w:rPr>
          <w:rFonts w:ascii="Arial" w:hAnsi="Arial" w:cs="Arial"/>
          <w:noProof/>
          <w:sz w:val="20"/>
          <w:szCs w:val="24"/>
          <w:lang w:val="en-GB"/>
        </w:rPr>
        <w:t xml:space="preserve">3. </w:t>
      </w:r>
      <w:r w:rsidRPr="00DB3ECC">
        <w:rPr>
          <w:rFonts w:ascii="Arial" w:hAnsi="Arial" w:cs="Arial"/>
          <w:noProof/>
          <w:sz w:val="20"/>
          <w:szCs w:val="24"/>
          <w:lang w:val="en-GB"/>
        </w:rPr>
        <w:tab/>
      </w:r>
      <w:r w:rsidRPr="006075DC">
        <w:rPr>
          <w:rFonts w:ascii="Arial" w:hAnsi="Arial" w:cs="Arial"/>
          <w:noProof/>
          <w:sz w:val="20"/>
          <w:szCs w:val="24"/>
          <w:lang w:val="en-GB"/>
        </w:rPr>
        <w:t xml:space="preserve">Ellett, F., Pase, L., Hayman, J.W., Andrianopoulos, A., and Lieschke, G.J. (2011). </w:t>
      </w:r>
      <w:r w:rsidRPr="00DB3ECC">
        <w:rPr>
          <w:rFonts w:ascii="Arial" w:hAnsi="Arial" w:cs="Arial"/>
          <w:i/>
          <w:noProof/>
          <w:sz w:val="20"/>
          <w:szCs w:val="24"/>
          <w:lang w:val="en-GB"/>
        </w:rPr>
        <w:t>Mpeg1</w:t>
      </w:r>
      <w:r w:rsidRPr="006075DC">
        <w:rPr>
          <w:rFonts w:ascii="Arial" w:hAnsi="Arial" w:cs="Arial"/>
          <w:noProof/>
          <w:sz w:val="20"/>
          <w:szCs w:val="24"/>
          <w:lang w:val="en-GB"/>
        </w:rPr>
        <w:t xml:space="preserve"> Promoter </w:t>
      </w:r>
      <w:r w:rsidR="000C06D3">
        <w:rPr>
          <w:rFonts w:ascii="Arial" w:hAnsi="Arial" w:cs="Arial"/>
          <w:noProof/>
          <w:sz w:val="20"/>
          <w:szCs w:val="24"/>
          <w:lang w:val="en-GB"/>
        </w:rPr>
        <w:t>t</w:t>
      </w:r>
      <w:r w:rsidRPr="006075DC">
        <w:rPr>
          <w:rFonts w:ascii="Arial" w:hAnsi="Arial" w:cs="Arial"/>
          <w:noProof/>
          <w:sz w:val="20"/>
          <w:szCs w:val="24"/>
          <w:lang w:val="en-GB"/>
        </w:rPr>
        <w:t xml:space="preserve">ransgenes </w:t>
      </w:r>
      <w:r w:rsidR="000C06D3">
        <w:rPr>
          <w:rFonts w:ascii="Arial" w:hAnsi="Arial" w:cs="Arial"/>
          <w:noProof/>
          <w:sz w:val="20"/>
          <w:szCs w:val="24"/>
          <w:lang w:val="en-GB"/>
        </w:rPr>
        <w:t>direct macrophage-lineage expression in z</w:t>
      </w:r>
      <w:r w:rsidRPr="006075DC">
        <w:rPr>
          <w:rFonts w:ascii="Arial" w:hAnsi="Arial" w:cs="Arial"/>
          <w:noProof/>
          <w:sz w:val="20"/>
          <w:szCs w:val="24"/>
          <w:lang w:val="en-GB"/>
        </w:rPr>
        <w:t xml:space="preserve">ebrafish. Blood </w:t>
      </w:r>
      <w:r w:rsidRPr="006075DC">
        <w:rPr>
          <w:rFonts w:ascii="Arial" w:hAnsi="Arial" w:cs="Arial"/>
          <w:i/>
          <w:iCs/>
          <w:noProof/>
          <w:sz w:val="20"/>
          <w:szCs w:val="24"/>
          <w:lang w:val="en-GB"/>
        </w:rPr>
        <w:t>117</w:t>
      </w:r>
      <w:r w:rsidRPr="006075DC">
        <w:rPr>
          <w:rFonts w:ascii="Arial" w:hAnsi="Arial" w:cs="Arial"/>
          <w:noProof/>
          <w:sz w:val="20"/>
          <w:szCs w:val="24"/>
          <w:lang w:val="en-GB"/>
        </w:rPr>
        <w:t>, e49–e56.</w:t>
      </w:r>
    </w:p>
    <w:p w:rsidR="00D61F98" w:rsidRPr="006075DC" w:rsidRDefault="00D61F98" w:rsidP="00D61F98">
      <w:pPr>
        <w:widowControl w:val="0"/>
        <w:autoSpaceDE w:val="0"/>
        <w:autoSpaceDN w:val="0"/>
        <w:adjustRightInd w:val="0"/>
        <w:spacing w:after="0" w:line="240" w:lineRule="auto"/>
        <w:ind w:left="640" w:hanging="640"/>
        <w:rPr>
          <w:rFonts w:ascii="Arial" w:hAnsi="Arial" w:cs="Arial"/>
          <w:noProof/>
          <w:sz w:val="20"/>
          <w:szCs w:val="24"/>
          <w:lang w:val="en-GB"/>
        </w:rPr>
      </w:pPr>
      <w:r w:rsidRPr="00DB3ECC">
        <w:rPr>
          <w:rFonts w:ascii="Arial" w:hAnsi="Arial" w:cs="Arial"/>
          <w:noProof/>
          <w:sz w:val="20"/>
          <w:szCs w:val="24"/>
          <w:lang w:val="en-GB"/>
        </w:rPr>
        <w:t xml:space="preserve">4. </w:t>
      </w:r>
      <w:r w:rsidRPr="00DB3ECC">
        <w:rPr>
          <w:rFonts w:ascii="Arial" w:hAnsi="Arial" w:cs="Arial"/>
          <w:noProof/>
          <w:sz w:val="20"/>
          <w:szCs w:val="24"/>
          <w:lang w:val="en-GB"/>
        </w:rPr>
        <w:tab/>
        <w:t xml:space="preserve">Nguyen-Chi, M., Phan, Q.T., Gonzalez, C., Dubremetz, J.-F., Levraud, J.-P., and Lutfalla, G. (2014). </w:t>
      </w:r>
      <w:r w:rsidRPr="006075DC">
        <w:rPr>
          <w:rFonts w:ascii="Arial" w:hAnsi="Arial" w:cs="Arial"/>
          <w:noProof/>
          <w:sz w:val="20"/>
          <w:szCs w:val="24"/>
          <w:lang w:val="en-GB"/>
        </w:rPr>
        <w:t>Transient infection of the zebrafish notochord with</w:t>
      </w:r>
      <w:r w:rsidRPr="00DB3ECC">
        <w:rPr>
          <w:rFonts w:ascii="Arial" w:hAnsi="Arial" w:cs="Arial"/>
          <w:i/>
          <w:noProof/>
          <w:sz w:val="20"/>
          <w:szCs w:val="24"/>
          <w:lang w:val="en-GB"/>
        </w:rPr>
        <w:t xml:space="preserve"> E. coli</w:t>
      </w:r>
      <w:r w:rsidRPr="006075DC">
        <w:rPr>
          <w:rFonts w:ascii="Arial" w:hAnsi="Arial" w:cs="Arial"/>
          <w:noProof/>
          <w:sz w:val="20"/>
          <w:szCs w:val="24"/>
          <w:lang w:val="en-GB"/>
        </w:rPr>
        <w:t xml:space="preserve"> induces chronic inflammation. Dis. Model. Mech. </w:t>
      </w:r>
      <w:r w:rsidRPr="006075DC">
        <w:rPr>
          <w:rFonts w:ascii="Arial" w:hAnsi="Arial" w:cs="Arial"/>
          <w:i/>
          <w:iCs/>
          <w:noProof/>
          <w:sz w:val="20"/>
          <w:szCs w:val="24"/>
          <w:lang w:val="en-GB"/>
        </w:rPr>
        <w:t>7</w:t>
      </w:r>
      <w:r w:rsidRPr="006075DC">
        <w:rPr>
          <w:rFonts w:ascii="Arial" w:hAnsi="Arial" w:cs="Arial"/>
          <w:noProof/>
          <w:sz w:val="20"/>
          <w:szCs w:val="24"/>
          <w:lang w:val="en-GB"/>
        </w:rPr>
        <w:t>, 871–882.</w:t>
      </w:r>
    </w:p>
    <w:p w:rsidR="00D61F98" w:rsidRPr="006075DC" w:rsidRDefault="00D61F98" w:rsidP="00D61F98">
      <w:pPr>
        <w:widowControl w:val="0"/>
        <w:autoSpaceDE w:val="0"/>
        <w:autoSpaceDN w:val="0"/>
        <w:adjustRightInd w:val="0"/>
        <w:spacing w:after="0" w:line="240" w:lineRule="auto"/>
        <w:ind w:left="640" w:hanging="640"/>
        <w:rPr>
          <w:rFonts w:ascii="Arial" w:hAnsi="Arial" w:cs="Arial"/>
          <w:noProof/>
          <w:sz w:val="20"/>
          <w:szCs w:val="24"/>
          <w:lang w:val="en-GB"/>
        </w:rPr>
      </w:pPr>
      <w:r w:rsidRPr="00DB3ECC">
        <w:rPr>
          <w:rFonts w:ascii="Arial" w:hAnsi="Arial" w:cs="Arial"/>
          <w:noProof/>
          <w:sz w:val="20"/>
          <w:szCs w:val="24"/>
          <w:lang w:val="en-GB"/>
        </w:rPr>
        <w:t xml:space="preserve">5. </w:t>
      </w:r>
      <w:r w:rsidRPr="00DB3ECC">
        <w:rPr>
          <w:rFonts w:ascii="Arial" w:hAnsi="Arial" w:cs="Arial"/>
          <w:noProof/>
          <w:sz w:val="20"/>
          <w:szCs w:val="24"/>
          <w:lang w:val="en-GB"/>
        </w:rPr>
        <w:tab/>
      </w:r>
      <w:r w:rsidRPr="006075DC">
        <w:rPr>
          <w:rFonts w:ascii="Arial" w:hAnsi="Arial" w:cs="Arial"/>
          <w:noProof/>
          <w:sz w:val="20"/>
          <w:szCs w:val="24"/>
          <w:lang w:val="en-GB"/>
        </w:rPr>
        <w:t xml:space="preserve">Sar, A.M. Van Der, Stockhammer, O.W., Laan, C. Van Der, Spaink, H.P., Bitter, W., </w:t>
      </w:r>
      <w:r w:rsidR="000C06D3">
        <w:rPr>
          <w:rFonts w:ascii="Arial" w:hAnsi="Arial" w:cs="Arial"/>
          <w:noProof/>
          <w:sz w:val="20"/>
          <w:szCs w:val="24"/>
          <w:lang w:val="en-GB"/>
        </w:rPr>
        <w:t>and Meijer, A.H. (2006). MyD88 innate immune function in a zebrafish embryo infection m</w:t>
      </w:r>
      <w:r w:rsidRPr="006075DC">
        <w:rPr>
          <w:rFonts w:ascii="Arial" w:hAnsi="Arial" w:cs="Arial"/>
          <w:noProof/>
          <w:sz w:val="20"/>
          <w:szCs w:val="24"/>
          <w:lang w:val="en-GB"/>
        </w:rPr>
        <w:t xml:space="preserve">odel. Infect. Immun. </w:t>
      </w:r>
      <w:r w:rsidRPr="006075DC">
        <w:rPr>
          <w:rFonts w:ascii="Arial" w:hAnsi="Arial" w:cs="Arial"/>
          <w:i/>
          <w:iCs/>
          <w:noProof/>
          <w:sz w:val="20"/>
          <w:szCs w:val="24"/>
          <w:lang w:val="en-GB"/>
        </w:rPr>
        <w:t>74</w:t>
      </w:r>
      <w:r w:rsidRPr="006075DC">
        <w:rPr>
          <w:rFonts w:ascii="Arial" w:hAnsi="Arial" w:cs="Arial"/>
          <w:noProof/>
          <w:sz w:val="20"/>
          <w:szCs w:val="24"/>
          <w:lang w:val="en-GB"/>
        </w:rPr>
        <w:t>, 2436–2441.</w:t>
      </w:r>
    </w:p>
    <w:p w:rsidR="00D61F98" w:rsidRPr="006075DC" w:rsidRDefault="00D61F98" w:rsidP="00D61F98">
      <w:pPr>
        <w:widowControl w:val="0"/>
        <w:autoSpaceDE w:val="0"/>
        <w:autoSpaceDN w:val="0"/>
        <w:adjustRightInd w:val="0"/>
        <w:spacing w:after="0" w:line="240" w:lineRule="auto"/>
        <w:ind w:left="640" w:hanging="640"/>
        <w:rPr>
          <w:rFonts w:ascii="Arial" w:hAnsi="Arial" w:cs="Arial"/>
          <w:noProof/>
          <w:sz w:val="20"/>
          <w:szCs w:val="24"/>
          <w:lang w:val="en-GB"/>
        </w:rPr>
      </w:pPr>
      <w:r w:rsidRPr="00DB3ECC">
        <w:rPr>
          <w:rFonts w:ascii="Arial" w:hAnsi="Arial" w:cs="Arial"/>
          <w:noProof/>
          <w:sz w:val="20"/>
          <w:szCs w:val="24"/>
          <w:lang w:val="en-GB"/>
        </w:rPr>
        <w:t xml:space="preserve">6. </w:t>
      </w:r>
      <w:r w:rsidRPr="00DB3ECC">
        <w:rPr>
          <w:rFonts w:ascii="Arial" w:hAnsi="Arial" w:cs="Arial"/>
          <w:noProof/>
          <w:sz w:val="20"/>
          <w:szCs w:val="24"/>
          <w:lang w:val="en-GB"/>
        </w:rPr>
        <w:tab/>
      </w:r>
      <w:r w:rsidRPr="006075DC">
        <w:rPr>
          <w:rFonts w:ascii="Arial" w:hAnsi="Arial" w:cs="Arial"/>
          <w:noProof/>
          <w:sz w:val="20"/>
          <w:szCs w:val="24"/>
          <w:lang w:val="en-GB"/>
        </w:rPr>
        <w:t xml:space="preserve">van der Vaart, M., van Soest, J.J., Spaink, H.P., and Meijer, A.H. (2013). Functional analysis of a zebrafish </w:t>
      </w:r>
      <w:r w:rsidRPr="00DB3ECC">
        <w:rPr>
          <w:rFonts w:ascii="Arial" w:hAnsi="Arial" w:cs="Arial"/>
          <w:i/>
          <w:noProof/>
          <w:sz w:val="20"/>
          <w:szCs w:val="24"/>
          <w:lang w:val="en-GB"/>
        </w:rPr>
        <w:t>myd88</w:t>
      </w:r>
      <w:r w:rsidRPr="006075DC">
        <w:rPr>
          <w:rFonts w:ascii="Arial" w:hAnsi="Arial" w:cs="Arial"/>
          <w:noProof/>
          <w:sz w:val="20"/>
          <w:szCs w:val="24"/>
          <w:lang w:val="en-GB"/>
        </w:rPr>
        <w:t xml:space="preserve"> mutant identifies key transcriptional components of the innate immune system. Dis. Model. Mech. </w:t>
      </w:r>
      <w:r w:rsidRPr="006075DC">
        <w:rPr>
          <w:rFonts w:ascii="Arial" w:hAnsi="Arial" w:cs="Arial"/>
          <w:i/>
          <w:iCs/>
          <w:noProof/>
          <w:sz w:val="20"/>
          <w:szCs w:val="24"/>
          <w:lang w:val="en-GB"/>
        </w:rPr>
        <w:t>6</w:t>
      </w:r>
      <w:r w:rsidRPr="006075DC">
        <w:rPr>
          <w:rFonts w:ascii="Arial" w:hAnsi="Arial" w:cs="Arial"/>
          <w:noProof/>
          <w:sz w:val="20"/>
          <w:szCs w:val="24"/>
          <w:lang w:val="en-GB"/>
        </w:rPr>
        <w:t>, 841–854.</w:t>
      </w:r>
    </w:p>
    <w:p w:rsidR="00D61F98" w:rsidRPr="006075DC" w:rsidRDefault="00D61F98" w:rsidP="00D61F98">
      <w:pPr>
        <w:widowControl w:val="0"/>
        <w:autoSpaceDE w:val="0"/>
        <w:autoSpaceDN w:val="0"/>
        <w:adjustRightInd w:val="0"/>
        <w:spacing w:after="0" w:line="240" w:lineRule="auto"/>
        <w:ind w:left="640" w:hanging="640"/>
        <w:rPr>
          <w:rFonts w:ascii="Arial" w:hAnsi="Arial" w:cs="Arial"/>
          <w:noProof/>
          <w:sz w:val="20"/>
          <w:szCs w:val="24"/>
          <w:lang w:val="en-GB"/>
        </w:rPr>
      </w:pPr>
      <w:r w:rsidRPr="00DB3ECC">
        <w:rPr>
          <w:rFonts w:ascii="Arial" w:hAnsi="Arial" w:cs="Arial"/>
          <w:noProof/>
          <w:sz w:val="20"/>
          <w:szCs w:val="24"/>
          <w:lang w:val="en-GB"/>
        </w:rPr>
        <w:t xml:space="preserve">7. </w:t>
      </w:r>
      <w:r w:rsidRPr="00DB3ECC">
        <w:rPr>
          <w:rFonts w:ascii="Arial" w:hAnsi="Arial" w:cs="Arial"/>
          <w:noProof/>
          <w:sz w:val="20"/>
          <w:szCs w:val="24"/>
          <w:lang w:val="en-GB"/>
        </w:rPr>
        <w:tab/>
      </w:r>
      <w:r w:rsidRPr="006075DC">
        <w:rPr>
          <w:rFonts w:ascii="Arial" w:hAnsi="Arial" w:cs="Arial"/>
          <w:noProof/>
          <w:sz w:val="20"/>
          <w:szCs w:val="24"/>
          <w:lang w:val="en-GB"/>
        </w:rPr>
        <w:t xml:space="preserve">Su, F., Juarez, M. a, Cooke, C.L., Lapointe, L., Shavit, J. a, Yamaoka, J.S., and Lyons, S.E. (2007). Differential regulation of primitive myelopoiesis in the zebrafish by Spi-1/Pu.1 and C/ebp1. Zebrafish </w:t>
      </w:r>
      <w:r w:rsidRPr="006075DC">
        <w:rPr>
          <w:rFonts w:ascii="Arial" w:hAnsi="Arial" w:cs="Arial"/>
          <w:i/>
          <w:iCs/>
          <w:noProof/>
          <w:sz w:val="20"/>
          <w:szCs w:val="24"/>
          <w:lang w:val="en-GB"/>
        </w:rPr>
        <w:t>4</w:t>
      </w:r>
      <w:r w:rsidRPr="006075DC">
        <w:rPr>
          <w:rFonts w:ascii="Arial" w:hAnsi="Arial" w:cs="Arial"/>
          <w:noProof/>
          <w:sz w:val="20"/>
          <w:szCs w:val="24"/>
          <w:lang w:val="en-GB"/>
        </w:rPr>
        <w:t>, 187–199.</w:t>
      </w:r>
    </w:p>
    <w:p w:rsidR="006D6C76" w:rsidRDefault="006D6C76" w:rsidP="00D61F98">
      <w:pPr>
        <w:widowControl w:val="0"/>
        <w:autoSpaceDE w:val="0"/>
        <w:autoSpaceDN w:val="0"/>
        <w:adjustRightInd w:val="0"/>
        <w:spacing w:after="0" w:line="240" w:lineRule="auto"/>
        <w:ind w:left="640" w:hanging="640"/>
        <w:rPr>
          <w:rFonts w:ascii="Arial" w:hAnsi="Arial" w:cs="Arial"/>
          <w:sz w:val="20"/>
          <w:lang w:val="en-US"/>
        </w:rPr>
      </w:pPr>
      <w:r>
        <w:rPr>
          <w:rFonts w:ascii="Arial" w:hAnsi="Arial" w:cs="Arial"/>
          <w:sz w:val="20"/>
          <w:lang w:val="en-US"/>
        </w:rPr>
        <w:fldChar w:fldCharType="end"/>
      </w:r>
    </w:p>
    <w:sectPr w:rsidR="006D6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DA"/>
    <w:rsid w:val="00000DC6"/>
    <w:rsid w:val="00084824"/>
    <w:rsid w:val="000C06D3"/>
    <w:rsid w:val="000E1543"/>
    <w:rsid w:val="00155FBC"/>
    <w:rsid w:val="00373070"/>
    <w:rsid w:val="003A4A97"/>
    <w:rsid w:val="00575625"/>
    <w:rsid w:val="00626425"/>
    <w:rsid w:val="00677A35"/>
    <w:rsid w:val="00681C0A"/>
    <w:rsid w:val="006D6C76"/>
    <w:rsid w:val="00704ADA"/>
    <w:rsid w:val="00722192"/>
    <w:rsid w:val="008620FC"/>
    <w:rsid w:val="009F0CE1"/>
    <w:rsid w:val="00A44349"/>
    <w:rsid w:val="00BA680B"/>
    <w:rsid w:val="00C95F3E"/>
    <w:rsid w:val="00D61F98"/>
    <w:rsid w:val="00DB3ECC"/>
    <w:rsid w:val="00E70D1D"/>
    <w:rsid w:val="00F13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04ADA"/>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67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3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04ADA"/>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67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3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6391">
      <w:bodyDiv w:val="1"/>
      <w:marLeft w:val="0"/>
      <w:marRight w:val="0"/>
      <w:marTop w:val="0"/>
      <w:marBottom w:val="0"/>
      <w:divBdr>
        <w:top w:val="none" w:sz="0" w:space="0" w:color="auto"/>
        <w:left w:val="none" w:sz="0" w:space="0" w:color="auto"/>
        <w:bottom w:val="none" w:sz="0" w:space="0" w:color="auto"/>
        <w:right w:val="none" w:sz="0" w:space="0" w:color="auto"/>
      </w:divBdr>
    </w:div>
    <w:div w:id="1156265264">
      <w:bodyDiv w:val="1"/>
      <w:marLeft w:val="0"/>
      <w:marRight w:val="0"/>
      <w:marTop w:val="0"/>
      <w:marBottom w:val="0"/>
      <w:divBdr>
        <w:top w:val="none" w:sz="0" w:space="0" w:color="auto"/>
        <w:left w:val="none" w:sz="0" w:space="0" w:color="auto"/>
        <w:bottom w:val="none" w:sz="0" w:space="0" w:color="auto"/>
        <w:right w:val="none" w:sz="0" w:space="0" w:color="auto"/>
      </w:divBdr>
    </w:div>
    <w:div w:id="1797865350">
      <w:bodyDiv w:val="1"/>
      <w:marLeft w:val="0"/>
      <w:marRight w:val="0"/>
      <w:marTop w:val="0"/>
      <w:marBottom w:val="0"/>
      <w:divBdr>
        <w:top w:val="none" w:sz="0" w:space="0" w:color="auto"/>
        <w:left w:val="none" w:sz="0" w:space="0" w:color="auto"/>
        <w:bottom w:val="none" w:sz="0" w:space="0" w:color="auto"/>
        <w:right w:val="none" w:sz="0" w:space="0" w:color="auto"/>
      </w:divBdr>
      <w:divsChild>
        <w:div w:id="758209306">
          <w:marLeft w:val="0"/>
          <w:marRight w:val="0"/>
          <w:marTop w:val="0"/>
          <w:marBottom w:val="0"/>
          <w:divBdr>
            <w:top w:val="none" w:sz="0" w:space="0" w:color="auto"/>
            <w:left w:val="none" w:sz="0" w:space="0" w:color="auto"/>
            <w:bottom w:val="none" w:sz="0" w:space="0" w:color="auto"/>
            <w:right w:val="none" w:sz="0" w:space="0" w:color="auto"/>
          </w:divBdr>
        </w:div>
        <w:div w:id="129177569">
          <w:marLeft w:val="0"/>
          <w:marRight w:val="0"/>
          <w:marTop w:val="0"/>
          <w:marBottom w:val="0"/>
          <w:divBdr>
            <w:top w:val="none" w:sz="0" w:space="0" w:color="auto"/>
            <w:left w:val="none" w:sz="0" w:space="0" w:color="auto"/>
            <w:bottom w:val="none" w:sz="0" w:space="0" w:color="auto"/>
            <w:right w:val="none" w:sz="0" w:space="0" w:color="auto"/>
          </w:divBdr>
        </w:div>
        <w:div w:id="487479957">
          <w:marLeft w:val="0"/>
          <w:marRight w:val="0"/>
          <w:marTop w:val="0"/>
          <w:marBottom w:val="0"/>
          <w:divBdr>
            <w:top w:val="none" w:sz="0" w:space="0" w:color="auto"/>
            <w:left w:val="none" w:sz="0" w:space="0" w:color="auto"/>
            <w:bottom w:val="none" w:sz="0" w:space="0" w:color="auto"/>
            <w:right w:val="none" w:sz="0" w:space="0" w:color="auto"/>
          </w:divBdr>
        </w:div>
        <w:div w:id="847523770">
          <w:marLeft w:val="0"/>
          <w:marRight w:val="0"/>
          <w:marTop w:val="0"/>
          <w:marBottom w:val="0"/>
          <w:divBdr>
            <w:top w:val="none" w:sz="0" w:space="0" w:color="auto"/>
            <w:left w:val="none" w:sz="0" w:space="0" w:color="auto"/>
            <w:bottom w:val="none" w:sz="0" w:space="0" w:color="auto"/>
            <w:right w:val="none" w:sz="0" w:space="0" w:color="auto"/>
          </w:divBdr>
        </w:div>
        <w:div w:id="121315360">
          <w:marLeft w:val="0"/>
          <w:marRight w:val="0"/>
          <w:marTop w:val="0"/>
          <w:marBottom w:val="0"/>
          <w:divBdr>
            <w:top w:val="none" w:sz="0" w:space="0" w:color="auto"/>
            <w:left w:val="none" w:sz="0" w:space="0" w:color="auto"/>
            <w:bottom w:val="none" w:sz="0" w:space="0" w:color="auto"/>
            <w:right w:val="none" w:sz="0" w:space="0" w:color="auto"/>
          </w:divBdr>
        </w:div>
      </w:divsChild>
    </w:div>
    <w:div w:id="19271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4CDA-8844-4380-96B9-9035913F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reset</dc:creator>
  <cp:lastModifiedBy>Annette reset</cp:lastModifiedBy>
  <cp:revision>3</cp:revision>
  <dcterms:created xsi:type="dcterms:W3CDTF">2017-06-01T13:09:00Z</dcterms:created>
  <dcterms:modified xsi:type="dcterms:W3CDTF">2017-06-08T16:26:00Z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acvergunst@zonnet.nl@www.mendeley.com</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http://www.zotero.org/styles/cell</vt:lpwstr>
  </property>
  <property fmtid="{D5CDD505-2E9C-101B-9397-08002B2CF9AE}" pid="11" name="Mendeley Recent Style Name 3_1">
    <vt:lpwstr>Cell</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http://www.zotero.org/styles/infection-and-immunity</vt:lpwstr>
  </property>
  <property fmtid="{D5CDD505-2E9C-101B-9397-08002B2CF9AE}" pid="17" name="Mendeley Recent Style Name 6_1">
    <vt:lpwstr>Infection and Immunity</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http://www.zotero.org/styles/the-embo-journal</vt:lpwstr>
  </property>
  <property fmtid="{D5CDD505-2E9C-101B-9397-08002B2CF9AE}" pid="21" name="Mendeley Recent Style Name 8_1">
    <vt:lpwstr>The EMBO Journal</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http://www.zotero.org/styles/vancouver</vt:lpwstr>
  </property>
</Properties>
</file>