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53" w:rsidRPr="00BC58FF" w:rsidRDefault="00535153" w:rsidP="00535153">
      <w:pPr>
        <w:spacing w:line="480" w:lineRule="auto"/>
        <w:jc w:val="both"/>
        <w:rPr>
          <w:rFonts w:ascii="Arial" w:hAnsi="Arial" w:cs="Arial"/>
          <w:b/>
          <w:sz w:val="24"/>
          <w:szCs w:val="24"/>
        </w:rPr>
      </w:pPr>
      <w:r>
        <w:rPr>
          <w:rFonts w:ascii="Arial" w:hAnsi="Arial" w:cs="Arial"/>
          <w:b/>
          <w:sz w:val="24"/>
          <w:szCs w:val="24"/>
        </w:rPr>
        <w:t>S2 Table</w:t>
      </w:r>
      <w:r w:rsidRPr="00BC58FF">
        <w:rPr>
          <w:rFonts w:ascii="Arial" w:hAnsi="Arial" w:cs="Arial"/>
          <w:b/>
          <w:sz w:val="24"/>
          <w:szCs w:val="24"/>
        </w:rPr>
        <w:t xml:space="preserve">: </w:t>
      </w:r>
      <w:proofErr w:type="spellStart"/>
      <w:r w:rsidRPr="00BC58FF">
        <w:rPr>
          <w:rFonts w:ascii="Arial" w:hAnsi="Arial" w:cs="Arial"/>
          <w:b/>
          <w:sz w:val="24"/>
          <w:szCs w:val="24"/>
        </w:rPr>
        <w:t>Env</w:t>
      </w:r>
      <w:proofErr w:type="spellEnd"/>
      <w:r w:rsidRPr="00BC58FF">
        <w:rPr>
          <w:rFonts w:ascii="Arial" w:hAnsi="Arial" w:cs="Arial"/>
          <w:b/>
          <w:sz w:val="24"/>
          <w:szCs w:val="24"/>
        </w:rPr>
        <w:t xml:space="preserve"> antibody escape or sensitivity mutants</w:t>
      </w:r>
    </w:p>
    <w:tbl>
      <w:tblPr>
        <w:tblStyle w:val="TableGrid"/>
        <w:tblW w:w="0" w:type="auto"/>
        <w:jc w:val="center"/>
        <w:tblLook w:val="04A0" w:firstRow="1" w:lastRow="0" w:firstColumn="1" w:lastColumn="0" w:noHBand="0" w:noVBand="1"/>
      </w:tblPr>
      <w:tblGrid>
        <w:gridCol w:w="1474"/>
        <w:gridCol w:w="2259"/>
        <w:gridCol w:w="4220"/>
        <w:gridCol w:w="1397"/>
      </w:tblGrid>
      <w:tr w:rsidR="00535153" w:rsidRPr="00BC58FF" w:rsidTr="00827C5F">
        <w:trPr>
          <w:trHeight w:val="460"/>
          <w:jc w:val="center"/>
        </w:trPr>
        <w:tc>
          <w:tcPr>
            <w:tcW w:w="1484" w:type="dxa"/>
            <w:noWrap/>
            <w:vAlign w:val="center"/>
            <w:hideMark/>
          </w:tcPr>
          <w:p w:rsidR="00535153" w:rsidRPr="00BC58FF" w:rsidRDefault="00535153" w:rsidP="00827C5F">
            <w:pPr>
              <w:tabs>
                <w:tab w:val="left" w:pos="1008"/>
              </w:tabs>
              <w:jc w:val="both"/>
              <w:rPr>
                <w:rFonts w:ascii="Arial" w:eastAsia="Times New Roman" w:hAnsi="Arial" w:cs="Arial"/>
                <w:b/>
                <w:bCs/>
                <w:color w:val="000000"/>
                <w:lang w:eastAsia="de-CH"/>
              </w:rPr>
            </w:pPr>
            <w:r w:rsidRPr="00BC58FF">
              <w:rPr>
                <w:rFonts w:ascii="Arial" w:eastAsia="Times New Roman" w:hAnsi="Arial" w:cs="Arial"/>
                <w:b/>
                <w:bCs/>
                <w:color w:val="000000"/>
                <w:lang w:eastAsia="de-CH"/>
              </w:rPr>
              <w:t>Strain</w:t>
            </w:r>
          </w:p>
        </w:tc>
        <w:tc>
          <w:tcPr>
            <w:tcW w:w="2273" w:type="dxa"/>
            <w:noWrap/>
            <w:vAlign w:val="center"/>
            <w:hideMark/>
          </w:tcPr>
          <w:p w:rsidR="00535153" w:rsidRPr="00BC58FF" w:rsidRDefault="00535153" w:rsidP="00827C5F">
            <w:pPr>
              <w:jc w:val="both"/>
              <w:rPr>
                <w:rFonts w:ascii="Arial" w:eastAsia="Times New Roman" w:hAnsi="Arial" w:cs="Arial"/>
                <w:b/>
                <w:bCs/>
                <w:color w:val="000000"/>
                <w:lang w:eastAsia="de-CH"/>
              </w:rPr>
            </w:pPr>
            <w:r w:rsidRPr="00BC58FF">
              <w:rPr>
                <w:rFonts w:ascii="Arial" w:eastAsia="Times New Roman" w:hAnsi="Arial" w:cs="Arial"/>
                <w:b/>
                <w:bCs/>
                <w:color w:val="000000"/>
                <w:lang w:eastAsia="de-CH"/>
              </w:rPr>
              <w:t>Variant</w:t>
            </w:r>
          </w:p>
        </w:tc>
        <w:tc>
          <w:tcPr>
            <w:tcW w:w="4248" w:type="dxa"/>
            <w:noWrap/>
            <w:vAlign w:val="center"/>
            <w:hideMark/>
          </w:tcPr>
          <w:p w:rsidR="00535153" w:rsidRPr="00BC58FF" w:rsidRDefault="00535153" w:rsidP="00827C5F">
            <w:pPr>
              <w:jc w:val="both"/>
              <w:rPr>
                <w:rFonts w:ascii="Arial" w:eastAsia="Times New Roman" w:hAnsi="Arial" w:cs="Arial"/>
                <w:b/>
                <w:bCs/>
                <w:color w:val="000000"/>
                <w:lang w:eastAsia="de-CH"/>
              </w:rPr>
            </w:pPr>
            <w:r w:rsidRPr="00BC58FF">
              <w:rPr>
                <w:rFonts w:ascii="Arial" w:eastAsia="Times New Roman" w:hAnsi="Arial" w:cs="Arial"/>
                <w:b/>
                <w:bCs/>
                <w:color w:val="000000"/>
                <w:lang w:eastAsia="de-CH"/>
              </w:rPr>
              <w:t>Neutralization phenotype</w:t>
            </w:r>
          </w:p>
        </w:tc>
        <w:tc>
          <w:tcPr>
            <w:tcW w:w="1405" w:type="dxa"/>
            <w:noWrap/>
            <w:vAlign w:val="center"/>
            <w:hideMark/>
          </w:tcPr>
          <w:p w:rsidR="00535153" w:rsidRPr="00BC58FF" w:rsidRDefault="00535153" w:rsidP="00827C5F">
            <w:pPr>
              <w:jc w:val="both"/>
              <w:rPr>
                <w:rFonts w:ascii="Arial" w:eastAsia="Times New Roman" w:hAnsi="Arial" w:cs="Arial"/>
                <w:b/>
                <w:bCs/>
                <w:color w:val="000000"/>
                <w:lang w:eastAsia="de-CH"/>
              </w:rPr>
            </w:pPr>
            <w:r w:rsidRPr="00BC58FF">
              <w:rPr>
                <w:rFonts w:ascii="Arial" w:eastAsia="Times New Roman" w:hAnsi="Arial" w:cs="Arial"/>
                <w:b/>
                <w:bCs/>
                <w:color w:val="000000"/>
                <w:lang w:eastAsia="de-CH"/>
              </w:rPr>
              <w:t xml:space="preserve">Infectivity </w:t>
            </w:r>
            <w:r w:rsidRPr="00BC58FF">
              <w:rPr>
                <w:rFonts w:ascii="Arial" w:eastAsia="Times New Roman" w:hAnsi="Arial" w:cs="Arial"/>
                <w:b/>
                <w:bCs/>
                <w:color w:val="000000"/>
                <w:sz w:val="20"/>
                <w:szCs w:val="20"/>
                <w:lang w:eastAsia="de-CH"/>
              </w:rPr>
              <w:t xml:space="preserve">(% of </w:t>
            </w:r>
            <w:proofErr w:type="spellStart"/>
            <w:r w:rsidRPr="00BC58FF">
              <w:rPr>
                <w:rFonts w:ascii="Arial" w:eastAsia="Times New Roman" w:hAnsi="Arial" w:cs="Arial"/>
                <w:b/>
                <w:bCs/>
                <w:color w:val="000000"/>
                <w:sz w:val="20"/>
                <w:szCs w:val="20"/>
                <w:lang w:eastAsia="de-CH"/>
              </w:rPr>
              <w:t>wt</w:t>
            </w:r>
            <w:proofErr w:type="spellEnd"/>
            <w:r w:rsidRPr="00BC58FF">
              <w:rPr>
                <w:rFonts w:ascii="Arial" w:eastAsia="Times New Roman" w:hAnsi="Arial" w:cs="Arial"/>
                <w:b/>
                <w:bCs/>
                <w:color w:val="000000"/>
                <w:sz w:val="20"/>
                <w:szCs w:val="20"/>
                <w:lang w:eastAsia="de-CH"/>
              </w:rPr>
              <w:t>)</w:t>
            </w:r>
          </w:p>
        </w:tc>
      </w:tr>
      <w:tr w:rsidR="00535153" w:rsidRPr="00BC58FF" w:rsidTr="00535153">
        <w:trPr>
          <w:trHeight w:val="460"/>
          <w:jc w:val="center"/>
        </w:trPr>
        <w:tc>
          <w:tcPr>
            <w:tcW w:w="1484"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JR-FL</w:t>
            </w:r>
          </w:p>
        </w:tc>
        <w:tc>
          <w:tcPr>
            <w:tcW w:w="2273"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proofErr w:type="spellStart"/>
            <w:r w:rsidRPr="00BC58FF">
              <w:rPr>
                <w:rFonts w:ascii="Arial" w:eastAsia="Times New Roman" w:hAnsi="Arial" w:cs="Arial"/>
                <w:b/>
                <w:color w:val="000000"/>
                <w:sz w:val="20"/>
                <w:szCs w:val="20"/>
                <w:lang w:eastAsia="de-CH"/>
              </w:rPr>
              <w:t>wt</w:t>
            </w:r>
            <w:proofErr w:type="spellEnd"/>
          </w:p>
        </w:tc>
        <w:tc>
          <w:tcPr>
            <w:tcW w:w="4248"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moderately neutralization resistant (tier 2)</w:t>
            </w:r>
          </w:p>
        </w:tc>
        <w:tc>
          <w:tcPr>
            <w:tcW w:w="1405" w:type="dxa"/>
            <w:shd w:val="clear" w:color="auto" w:fill="D9D9D9" w:themeFill="background1" w:themeFillShade="D9"/>
            <w:noWrap/>
            <w:vAlign w:val="center"/>
            <w:hideMark/>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100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L175P</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highly neutralization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25.3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PGT128, PGT121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82.8</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93.0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E168K N189A</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PG9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62.7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 T390I</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PGT128, PGT121, 2G12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85.7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P369L M373R</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b12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32.3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V549M N554D</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T-20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9.3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P369L M373R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b12, 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31.0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 P369L M373R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b12, 2F5, PGT128, PGT121, 2G12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18.5</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R313Q N332S P369L M373R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b12, 2F5, PGT128, PGT121, 2G12, 447-52D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6.0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ΔV1V2</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highly neutralization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3.8</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JR-FL</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ΔV1V2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 xml:space="preserve">highly </w:t>
            </w:r>
            <w:r w:rsidRPr="00BC58FF">
              <w:rPr>
                <w:rFonts w:ascii="Arial" w:eastAsia="Times New Roman" w:hAnsi="Arial" w:cs="Arial"/>
                <w:color w:val="000000"/>
                <w:sz w:val="20"/>
                <w:szCs w:val="20"/>
                <w:lang w:eastAsia="de-CH"/>
              </w:rPr>
              <w:t>neutralization sensitive, 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1.7</w:t>
            </w:r>
          </w:p>
        </w:tc>
      </w:tr>
      <w:tr w:rsidR="00535153" w:rsidRPr="00BC58FF" w:rsidTr="00535153">
        <w:trPr>
          <w:trHeight w:val="460"/>
          <w:jc w:val="center"/>
        </w:trPr>
        <w:tc>
          <w:tcPr>
            <w:tcW w:w="1484"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JR-CSF</w:t>
            </w:r>
          </w:p>
        </w:tc>
        <w:tc>
          <w:tcPr>
            <w:tcW w:w="2273"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proofErr w:type="spellStart"/>
            <w:r w:rsidRPr="00BC58FF">
              <w:rPr>
                <w:rFonts w:ascii="Arial" w:eastAsia="Times New Roman" w:hAnsi="Arial" w:cs="Arial"/>
                <w:b/>
                <w:color w:val="000000"/>
                <w:sz w:val="20"/>
                <w:szCs w:val="20"/>
                <w:lang w:eastAsia="de-CH"/>
              </w:rPr>
              <w:t>wt</w:t>
            </w:r>
            <w:proofErr w:type="spellEnd"/>
          </w:p>
        </w:tc>
        <w:tc>
          <w:tcPr>
            <w:tcW w:w="4248"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moderately neutralization resistant (tier 2)</w:t>
            </w:r>
          </w:p>
        </w:tc>
        <w:tc>
          <w:tcPr>
            <w:tcW w:w="1405" w:type="dxa"/>
            <w:shd w:val="clear" w:color="auto" w:fill="D9D9D9" w:themeFill="background1" w:themeFillShade="D9"/>
            <w:noWrap/>
            <w:vAlign w:val="center"/>
            <w:hideMark/>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100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JR-CSF</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N160K</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PG9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JR-CSF</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D279A</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VRC01, NIH45.46, PGV04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11.8</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JR-CSF</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PGT135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90.7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JR-CSF</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106.7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JR-CSF</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N160K N332S T390I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PG9, 2G12, 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10.0</w:t>
            </w:r>
          </w:p>
        </w:tc>
      </w:tr>
      <w:tr w:rsidR="00535153" w:rsidRPr="00BC58FF" w:rsidTr="00535153">
        <w:trPr>
          <w:trHeight w:val="460"/>
          <w:jc w:val="center"/>
        </w:trPr>
        <w:tc>
          <w:tcPr>
            <w:tcW w:w="1484"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ZA110</w:t>
            </w:r>
          </w:p>
        </w:tc>
        <w:tc>
          <w:tcPr>
            <w:tcW w:w="2273"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proofErr w:type="spellStart"/>
            <w:r w:rsidRPr="00BC58FF">
              <w:rPr>
                <w:rFonts w:ascii="Arial" w:eastAsia="Times New Roman" w:hAnsi="Arial" w:cs="Arial"/>
                <w:b/>
                <w:color w:val="000000"/>
                <w:sz w:val="20"/>
                <w:szCs w:val="20"/>
                <w:lang w:eastAsia="de-CH"/>
              </w:rPr>
              <w:t>wt</w:t>
            </w:r>
            <w:proofErr w:type="spellEnd"/>
          </w:p>
        </w:tc>
        <w:tc>
          <w:tcPr>
            <w:tcW w:w="4248"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moderately neutralization resistant (tier 2)</w:t>
            </w:r>
          </w:p>
        </w:tc>
        <w:tc>
          <w:tcPr>
            <w:tcW w:w="1405" w:type="dxa"/>
            <w:shd w:val="clear" w:color="auto" w:fill="D9D9D9" w:themeFill="background1" w:themeFillShade="D9"/>
            <w:noWrap/>
            <w:vAlign w:val="center"/>
            <w:hideMark/>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100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ZA110</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PGT135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110.7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ZA110</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38.0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ZA110</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V549M N554D</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T-20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34.7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ZA110</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ΔV1V2</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highly neutralization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27.7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ZA110</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 xml:space="preserve">V1V2 </w:t>
            </w:r>
            <w:proofErr w:type="spellStart"/>
            <w:r w:rsidRPr="00BC58FF">
              <w:rPr>
                <w:rFonts w:ascii="Arial" w:eastAsia="Times New Roman" w:hAnsi="Arial" w:cs="Arial"/>
                <w:color w:val="000000"/>
                <w:sz w:val="20"/>
                <w:szCs w:val="20"/>
                <w:lang w:eastAsia="de-CH"/>
              </w:rPr>
              <w:t>timepoint</w:t>
            </w:r>
            <w:proofErr w:type="spellEnd"/>
            <w:r w:rsidRPr="00BC58FF">
              <w:rPr>
                <w:rFonts w:ascii="Arial" w:eastAsia="Times New Roman" w:hAnsi="Arial" w:cs="Arial"/>
                <w:color w:val="000000"/>
                <w:sz w:val="20"/>
                <w:szCs w:val="20"/>
                <w:lang w:eastAsia="de-CH"/>
              </w:rPr>
              <w:t xml:space="preserve"> 1.7</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sensitive against autologous plasma</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74.7</w:t>
            </w:r>
          </w:p>
        </w:tc>
      </w:tr>
      <w:tr w:rsidR="00535153" w:rsidRPr="00BC58FF" w:rsidTr="00827C5F">
        <w:trPr>
          <w:trHeight w:val="460"/>
          <w:jc w:val="center"/>
        </w:trPr>
        <w:tc>
          <w:tcPr>
            <w:tcW w:w="9410" w:type="dxa"/>
            <w:gridSpan w:val="4"/>
            <w:noWrap/>
            <w:vAlign w:val="center"/>
          </w:tcPr>
          <w:p w:rsidR="00535153" w:rsidRPr="00F97A2C" w:rsidRDefault="00535153" w:rsidP="00827C5F">
            <w:pPr>
              <w:rPr>
                <w:rFonts w:ascii="Arial" w:eastAsia="Times New Roman" w:hAnsi="Arial" w:cs="Arial"/>
                <w:b/>
                <w:color w:val="000000"/>
                <w:sz w:val="20"/>
                <w:szCs w:val="20"/>
                <w:lang w:eastAsia="de-CH"/>
              </w:rPr>
            </w:pPr>
            <w:r>
              <w:rPr>
                <w:rFonts w:ascii="Arial" w:hAnsi="Arial" w:cs="Arial"/>
                <w:b/>
                <w:sz w:val="20"/>
                <w:szCs w:val="20"/>
              </w:rPr>
              <w:lastRenderedPageBreak/>
              <w:t>S2 Table</w:t>
            </w:r>
            <w:r w:rsidRPr="00F97A2C">
              <w:rPr>
                <w:rFonts w:ascii="Arial" w:eastAsia="Times New Roman" w:hAnsi="Arial" w:cs="Arial"/>
                <w:b/>
                <w:color w:val="000000"/>
                <w:sz w:val="20"/>
                <w:szCs w:val="20"/>
                <w:lang w:eastAsia="de-CH"/>
              </w:rPr>
              <w:t>, continued</w:t>
            </w:r>
          </w:p>
        </w:tc>
      </w:tr>
      <w:tr w:rsidR="00535153" w:rsidRPr="00BC58FF" w:rsidTr="00827C5F">
        <w:trPr>
          <w:trHeight w:val="460"/>
          <w:jc w:val="center"/>
        </w:trPr>
        <w:tc>
          <w:tcPr>
            <w:tcW w:w="1484" w:type="dxa"/>
            <w:noWrap/>
            <w:vAlign w:val="center"/>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bCs/>
                <w:color w:val="000000"/>
                <w:lang w:eastAsia="de-CH"/>
              </w:rPr>
              <w:t>Strain</w:t>
            </w:r>
          </w:p>
        </w:tc>
        <w:tc>
          <w:tcPr>
            <w:tcW w:w="2273" w:type="dxa"/>
            <w:noWrap/>
            <w:vAlign w:val="center"/>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bCs/>
                <w:color w:val="000000"/>
                <w:lang w:eastAsia="de-CH"/>
              </w:rPr>
              <w:t>Variant</w:t>
            </w:r>
          </w:p>
        </w:tc>
        <w:tc>
          <w:tcPr>
            <w:tcW w:w="4248" w:type="dxa"/>
            <w:noWrap/>
            <w:vAlign w:val="center"/>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bCs/>
                <w:color w:val="000000"/>
                <w:lang w:eastAsia="de-CH"/>
              </w:rPr>
              <w:t>Neutralization phenotype</w:t>
            </w:r>
          </w:p>
        </w:tc>
        <w:tc>
          <w:tcPr>
            <w:tcW w:w="1405" w:type="dxa"/>
            <w:noWrap/>
            <w:vAlign w:val="center"/>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bCs/>
                <w:color w:val="000000"/>
                <w:lang w:eastAsia="de-CH"/>
              </w:rPr>
              <w:t xml:space="preserve">Infectivity </w:t>
            </w:r>
            <w:r w:rsidRPr="00BC58FF">
              <w:rPr>
                <w:rFonts w:ascii="Arial" w:eastAsia="Times New Roman" w:hAnsi="Arial" w:cs="Arial"/>
                <w:b/>
                <w:bCs/>
                <w:color w:val="000000"/>
                <w:sz w:val="20"/>
                <w:szCs w:val="20"/>
                <w:lang w:eastAsia="de-CH"/>
              </w:rPr>
              <w:t xml:space="preserve">(% of </w:t>
            </w:r>
            <w:proofErr w:type="spellStart"/>
            <w:r w:rsidRPr="00BC58FF">
              <w:rPr>
                <w:rFonts w:ascii="Arial" w:eastAsia="Times New Roman" w:hAnsi="Arial" w:cs="Arial"/>
                <w:b/>
                <w:bCs/>
                <w:color w:val="000000"/>
                <w:sz w:val="20"/>
                <w:szCs w:val="20"/>
                <w:lang w:eastAsia="de-CH"/>
              </w:rPr>
              <w:t>wt</w:t>
            </w:r>
            <w:proofErr w:type="spellEnd"/>
            <w:r w:rsidRPr="00BC58FF">
              <w:rPr>
                <w:rFonts w:ascii="Arial" w:eastAsia="Times New Roman" w:hAnsi="Arial" w:cs="Arial"/>
                <w:b/>
                <w:bCs/>
                <w:color w:val="000000"/>
                <w:sz w:val="20"/>
                <w:szCs w:val="20"/>
                <w:lang w:eastAsia="de-CH"/>
              </w:rPr>
              <w:t>)</w:t>
            </w:r>
          </w:p>
        </w:tc>
      </w:tr>
      <w:tr w:rsidR="00535153" w:rsidRPr="00BC58FF" w:rsidTr="00535153">
        <w:trPr>
          <w:trHeight w:val="460"/>
          <w:jc w:val="center"/>
        </w:trPr>
        <w:tc>
          <w:tcPr>
            <w:tcW w:w="1484" w:type="dxa"/>
            <w:shd w:val="clear" w:color="auto" w:fill="D9D9D9" w:themeFill="background1" w:themeFillShade="D9"/>
            <w:noWrap/>
            <w:vAlign w:val="center"/>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SF162</w:t>
            </w:r>
          </w:p>
        </w:tc>
        <w:tc>
          <w:tcPr>
            <w:tcW w:w="2273" w:type="dxa"/>
            <w:shd w:val="clear" w:color="auto" w:fill="D9D9D9" w:themeFill="background1" w:themeFillShade="D9"/>
            <w:noWrap/>
            <w:vAlign w:val="center"/>
          </w:tcPr>
          <w:p w:rsidR="00535153" w:rsidRPr="00BC58FF" w:rsidRDefault="00535153" w:rsidP="00827C5F">
            <w:pPr>
              <w:jc w:val="both"/>
              <w:rPr>
                <w:rFonts w:ascii="Arial" w:eastAsia="Times New Roman" w:hAnsi="Arial" w:cs="Arial"/>
                <w:b/>
                <w:color w:val="000000"/>
                <w:sz w:val="20"/>
                <w:szCs w:val="20"/>
                <w:lang w:eastAsia="de-CH"/>
              </w:rPr>
            </w:pPr>
            <w:proofErr w:type="spellStart"/>
            <w:r w:rsidRPr="00BC58FF">
              <w:rPr>
                <w:rFonts w:ascii="Arial" w:eastAsia="Times New Roman" w:hAnsi="Arial" w:cs="Arial"/>
                <w:b/>
                <w:color w:val="000000"/>
                <w:sz w:val="20"/>
                <w:szCs w:val="20"/>
                <w:lang w:eastAsia="de-CH"/>
              </w:rPr>
              <w:t>wt</w:t>
            </w:r>
            <w:proofErr w:type="spellEnd"/>
          </w:p>
        </w:tc>
        <w:tc>
          <w:tcPr>
            <w:tcW w:w="4248" w:type="dxa"/>
            <w:shd w:val="clear" w:color="auto" w:fill="D9D9D9" w:themeFill="background1" w:themeFillShade="D9"/>
            <w:noWrap/>
            <w:vAlign w:val="center"/>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neutralization sensitive (tier 1)</w:t>
            </w:r>
          </w:p>
        </w:tc>
        <w:tc>
          <w:tcPr>
            <w:tcW w:w="1405" w:type="dxa"/>
            <w:shd w:val="clear" w:color="auto" w:fill="D9D9D9" w:themeFill="background1" w:themeFillShade="D9"/>
            <w:noWrap/>
            <w:vAlign w:val="center"/>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100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K160N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PG9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325.8</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D279A</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VRC01, NIH45.46, PGV04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77.3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R313Q</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447-52D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197.3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PGT135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80.5</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96.7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 T390I</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PGT135, 2G12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84.3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V549M N554D</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T-20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51.7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SF162</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D279A R313Q N332S T390I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VRC01, NIH45.46, PGV04, 447-52D, PGT135, 2G12, 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72.3</w:t>
            </w:r>
          </w:p>
        </w:tc>
      </w:tr>
      <w:tr w:rsidR="00535153" w:rsidRPr="00BC58FF" w:rsidTr="00535153">
        <w:trPr>
          <w:trHeight w:val="460"/>
          <w:jc w:val="center"/>
        </w:trPr>
        <w:tc>
          <w:tcPr>
            <w:tcW w:w="1484"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NL4-3</w:t>
            </w:r>
          </w:p>
        </w:tc>
        <w:tc>
          <w:tcPr>
            <w:tcW w:w="2273"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proofErr w:type="spellStart"/>
            <w:r w:rsidRPr="00BC58FF">
              <w:rPr>
                <w:rFonts w:ascii="Arial" w:eastAsia="Times New Roman" w:hAnsi="Arial" w:cs="Arial"/>
                <w:b/>
                <w:color w:val="000000"/>
                <w:sz w:val="20"/>
                <w:szCs w:val="20"/>
                <w:lang w:eastAsia="de-CH"/>
              </w:rPr>
              <w:t>wt</w:t>
            </w:r>
            <w:proofErr w:type="spellEnd"/>
          </w:p>
        </w:tc>
        <w:tc>
          <w:tcPr>
            <w:tcW w:w="4248" w:type="dxa"/>
            <w:shd w:val="clear" w:color="auto" w:fill="D9D9D9" w:themeFill="background1" w:themeFillShade="D9"/>
            <w:noWrap/>
            <w:vAlign w:val="center"/>
            <w:hideMark/>
          </w:tcPr>
          <w:p w:rsidR="00535153" w:rsidRPr="00BC58FF" w:rsidRDefault="00535153" w:rsidP="00827C5F">
            <w:pPr>
              <w:jc w:val="both"/>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neutralization sensitive (tier 1)</w:t>
            </w:r>
          </w:p>
        </w:tc>
        <w:tc>
          <w:tcPr>
            <w:tcW w:w="1405" w:type="dxa"/>
            <w:shd w:val="clear" w:color="auto" w:fill="D9D9D9" w:themeFill="background1" w:themeFillShade="D9"/>
            <w:noWrap/>
            <w:vAlign w:val="center"/>
            <w:hideMark/>
          </w:tcPr>
          <w:p w:rsidR="00535153" w:rsidRPr="00BC58FF" w:rsidRDefault="00535153" w:rsidP="00827C5F">
            <w:pPr>
              <w:jc w:val="center"/>
              <w:rPr>
                <w:rFonts w:ascii="Arial" w:eastAsia="Times New Roman" w:hAnsi="Arial" w:cs="Arial"/>
                <w:b/>
                <w:color w:val="000000"/>
                <w:sz w:val="20"/>
                <w:szCs w:val="20"/>
                <w:lang w:eastAsia="de-CH"/>
              </w:rPr>
            </w:pPr>
            <w:r w:rsidRPr="00BC58FF">
              <w:rPr>
                <w:rFonts w:ascii="Arial" w:eastAsia="Times New Roman" w:hAnsi="Arial" w:cs="Arial"/>
                <w:b/>
                <w:color w:val="000000"/>
                <w:sz w:val="20"/>
                <w:szCs w:val="20"/>
                <w:lang w:eastAsia="de-CH"/>
              </w:rPr>
              <w:t>100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D279A</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VRC01, NIH45.46, PGV04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81.0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T373R</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b12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27.3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M475S</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17b, 48d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92.7</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52.3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N332S T390I</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2G12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23.3</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D279A N332S T373R D664N</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VRC01, 2G12, b12, 2F5 resistant</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54.0</w:t>
            </w:r>
          </w:p>
        </w:tc>
      </w:tr>
      <w:tr w:rsidR="00535153" w:rsidRPr="00BC58FF" w:rsidTr="00827C5F">
        <w:trPr>
          <w:trHeight w:val="460"/>
          <w:jc w:val="center"/>
        </w:trPr>
        <w:tc>
          <w:tcPr>
            <w:tcW w:w="1484" w:type="dxa"/>
            <w:noWrap/>
            <w:vAlign w:val="center"/>
            <w:hideMark/>
          </w:tcPr>
          <w:p w:rsidR="00535153" w:rsidRPr="00BC58FF" w:rsidRDefault="00535153" w:rsidP="00827C5F">
            <w:pPr>
              <w:jc w:val="both"/>
              <w:rPr>
                <w:rFonts w:ascii="Arial" w:hAnsi="Arial" w:cs="Arial"/>
                <w:sz w:val="20"/>
                <w:szCs w:val="20"/>
              </w:rPr>
            </w:pPr>
            <w:r w:rsidRPr="00BC58FF">
              <w:rPr>
                <w:rFonts w:ascii="Arial" w:eastAsia="Times New Roman" w:hAnsi="Arial" w:cs="Arial"/>
                <w:color w:val="000000"/>
                <w:sz w:val="20"/>
                <w:szCs w:val="20"/>
                <w:lang w:eastAsia="de-CH"/>
              </w:rPr>
              <w:t>NL4-3</w:t>
            </w:r>
          </w:p>
        </w:tc>
        <w:tc>
          <w:tcPr>
            <w:tcW w:w="2273"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ΔV1V2</w:t>
            </w:r>
          </w:p>
        </w:tc>
        <w:tc>
          <w:tcPr>
            <w:tcW w:w="4248" w:type="dxa"/>
            <w:noWrap/>
            <w:vAlign w:val="center"/>
            <w:hideMark/>
          </w:tcPr>
          <w:p w:rsidR="00535153" w:rsidRPr="00BC58FF" w:rsidRDefault="00535153" w:rsidP="00827C5F">
            <w:pPr>
              <w:jc w:val="both"/>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highly neutralization sensitive</w:t>
            </w:r>
          </w:p>
        </w:tc>
        <w:tc>
          <w:tcPr>
            <w:tcW w:w="1405" w:type="dxa"/>
            <w:noWrap/>
            <w:vAlign w:val="center"/>
            <w:hideMark/>
          </w:tcPr>
          <w:p w:rsidR="00535153" w:rsidRPr="00BC58FF" w:rsidRDefault="00535153" w:rsidP="00827C5F">
            <w:pPr>
              <w:jc w:val="center"/>
              <w:rPr>
                <w:rFonts w:ascii="Arial" w:eastAsia="Times New Roman" w:hAnsi="Arial" w:cs="Arial"/>
                <w:color w:val="000000"/>
                <w:sz w:val="20"/>
                <w:szCs w:val="20"/>
                <w:lang w:eastAsia="de-CH"/>
              </w:rPr>
            </w:pPr>
            <w:r w:rsidRPr="00BC58FF">
              <w:rPr>
                <w:rFonts w:ascii="Arial" w:eastAsia="Times New Roman" w:hAnsi="Arial" w:cs="Arial"/>
                <w:color w:val="000000"/>
                <w:sz w:val="20"/>
                <w:szCs w:val="20"/>
                <w:lang w:eastAsia="de-CH"/>
              </w:rPr>
              <w:t>22.5</w:t>
            </w:r>
          </w:p>
        </w:tc>
      </w:tr>
    </w:tbl>
    <w:p w:rsidR="00535153" w:rsidRDefault="00535153" w:rsidP="00535153">
      <w:pPr>
        <w:spacing w:line="480" w:lineRule="auto"/>
        <w:jc w:val="both"/>
        <w:rPr>
          <w:rFonts w:ascii="Arial" w:hAnsi="Arial" w:cs="Arial"/>
          <w:sz w:val="24"/>
          <w:szCs w:val="24"/>
        </w:rPr>
      </w:pPr>
    </w:p>
    <w:p w:rsidR="00BF2404" w:rsidRPr="00535153" w:rsidRDefault="00535153" w:rsidP="00535153">
      <w:pPr>
        <w:spacing w:line="360" w:lineRule="auto"/>
        <w:jc w:val="both"/>
      </w:pPr>
      <w:r>
        <w:rPr>
          <w:rFonts w:ascii="Arial" w:hAnsi="Arial" w:cs="Arial"/>
          <w:sz w:val="24"/>
          <w:szCs w:val="24"/>
        </w:rPr>
        <w:t xml:space="preserve">To compare virus infectivity across the variants of a given strain, all variant virus stocks were produced and titrated in parallel to avoid experimental variation. Infectivity values are derived from two independently produced and titrated batches of virus stocks and given as the average of these experiments; the infectivity of the corresponding </w:t>
      </w:r>
      <w:proofErr w:type="spellStart"/>
      <w:r>
        <w:rPr>
          <w:rFonts w:ascii="Arial" w:hAnsi="Arial" w:cs="Arial"/>
          <w:sz w:val="24"/>
          <w:szCs w:val="24"/>
        </w:rPr>
        <w:t>wt</w:t>
      </w:r>
      <w:proofErr w:type="spellEnd"/>
      <w:r>
        <w:rPr>
          <w:rFonts w:ascii="Arial" w:hAnsi="Arial" w:cs="Arial"/>
          <w:sz w:val="24"/>
          <w:szCs w:val="24"/>
        </w:rPr>
        <w:t xml:space="preserve"> variant is always set to 100%.</w:t>
      </w:r>
      <w:bookmarkStart w:id="0" w:name="_GoBack"/>
      <w:bookmarkEnd w:id="0"/>
    </w:p>
    <w:sectPr w:rsidR="00BF2404" w:rsidRPr="00535153" w:rsidSect="00187B2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25"/>
    <w:rsid w:val="00187B25"/>
    <w:rsid w:val="00535153"/>
    <w:rsid w:val="00B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5E29D-EAFE-4EA1-B79A-DE153A96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7B25"/>
    <w:pPr>
      <w:spacing w:after="0" w:line="240" w:lineRule="auto"/>
    </w:pPr>
    <w:rPr>
      <w:rFonts w:ascii="Helvetica" w:eastAsia="MS Mincho" w:hAnsi="Helvetic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Brandenberg</dc:creator>
  <cp:keywords/>
  <dc:description/>
  <cp:lastModifiedBy>Oliver Brandenberg</cp:lastModifiedBy>
  <cp:revision>2</cp:revision>
  <dcterms:created xsi:type="dcterms:W3CDTF">2016-11-03T00:16:00Z</dcterms:created>
  <dcterms:modified xsi:type="dcterms:W3CDTF">2016-11-03T00:16:00Z</dcterms:modified>
</cp:coreProperties>
</file>