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674A3" w14:textId="1003F2A0" w:rsidR="00EB45E9" w:rsidRDefault="00963DAC" w:rsidP="00EB45E9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Statistics</w:t>
      </w:r>
    </w:p>
    <w:p w14:paraId="1BC0081C" w14:textId="796B312E" w:rsidR="0081712D" w:rsidRPr="0081712D" w:rsidRDefault="00BE5F89" w:rsidP="003B2F41">
      <w:pPr>
        <w:spacing w:line="360" w:lineRule="auto"/>
        <w:rPr>
          <w:rFonts w:ascii="Times" w:hAnsi="Times"/>
          <w:b/>
        </w:rPr>
      </w:pPr>
      <w:r w:rsidRPr="0081712D">
        <w:rPr>
          <w:rFonts w:ascii="Times" w:hAnsi="Times"/>
          <w:b/>
        </w:rPr>
        <w:t xml:space="preserve">Bootstrap </w:t>
      </w:r>
      <w:r w:rsidR="008114AB" w:rsidRPr="0081712D">
        <w:rPr>
          <w:rFonts w:ascii="Times" w:hAnsi="Times"/>
          <w:b/>
        </w:rPr>
        <w:t>Monte Carlo</w:t>
      </w:r>
    </w:p>
    <w:p w14:paraId="099DA8E8" w14:textId="3103CA0D" w:rsidR="00BE5F89" w:rsidRDefault="00BE5F89" w:rsidP="003B2F4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We </w:t>
      </w:r>
      <w:r w:rsidR="00F959BB">
        <w:rPr>
          <w:rFonts w:ascii="Times" w:hAnsi="Times"/>
        </w:rPr>
        <w:t xml:space="preserve">used the </w:t>
      </w:r>
      <w:r w:rsidR="008114AB">
        <w:rPr>
          <w:rFonts w:ascii="Times" w:hAnsi="Times"/>
        </w:rPr>
        <w:t>Monte Carlo</w:t>
      </w:r>
      <w:r w:rsidR="00F959BB">
        <w:rPr>
          <w:rFonts w:ascii="Times" w:hAnsi="Times"/>
        </w:rPr>
        <w:t xml:space="preserve"> method of random sampling to generate a</w:t>
      </w:r>
      <w:r>
        <w:rPr>
          <w:rFonts w:ascii="Times" w:hAnsi="Times"/>
        </w:rPr>
        <w:t xml:space="preserve"> distribution </w:t>
      </w:r>
      <w:r w:rsidR="00F959BB">
        <w:rPr>
          <w:rFonts w:ascii="Times" w:hAnsi="Times"/>
        </w:rPr>
        <w:t>for</w:t>
      </w:r>
      <w:r>
        <w:rPr>
          <w:rFonts w:ascii="Times" w:hAnsi="Times"/>
        </w:rPr>
        <w:t xml:space="preserve"> DMSO </w:t>
      </w:r>
      <w:r w:rsidR="00FB65CD">
        <w:rPr>
          <w:rFonts w:ascii="Times" w:hAnsi="Times"/>
        </w:rPr>
        <w:t xml:space="preserve">negative </w:t>
      </w:r>
      <w:r>
        <w:rPr>
          <w:rFonts w:ascii="Times" w:hAnsi="Times"/>
        </w:rPr>
        <w:t>controls</w:t>
      </w:r>
      <w:r w:rsidR="00460AD6">
        <w:rPr>
          <w:rFonts w:ascii="Times" w:hAnsi="Times"/>
        </w:rPr>
        <w:t>.</w:t>
      </w:r>
      <w:r w:rsidR="00C81745">
        <w:rPr>
          <w:rFonts w:ascii="Times" w:hAnsi="Times"/>
        </w:rPr>
        <w:t xml:space="preserve"> Through the text below, the ‘readout’ for a treatment refers to the average value of the duplicate pair for that treatment. In order to generate an appropriate null distribution for the readouts, </w:t>
      </w:r>
      <w:r w:rsidR="00C81745" w:rsidRPr="00BF08D2">
        <w:rPr>
          <w:rFonts w:ascii="Times" w:hAnsi="Times"/>
          <w:i/>
        </w:rPr>
        <w:t>a</w:t>
      </w:r>
      <w:r w:rsidR="00E67F5D" w:rsidRPr="00BF08D2">
        <w:rPr>
          <w:rFonts w:ascii="Times" w:hAnsi="Times"/>
          <w:i/>
        </w:rPr>
        <w:t>verages of</w:t>
      </w:r>
      <w:r w:rsidR="00C81745" w:rsidRPr="00BF08D2">
        <w:rPr>
          <w:rFonts w:ascii="Times" w:hAnsi="Times"/>
          <w:i/>
        </w:rPr>
        <w:t xml:space="preserve"> pairs</w:t>
      </w:r>
      <w:r w:rsidR="00C81745">
        <w:rPr>
          <w:rFonts w:ascii="Times" w:hAnsi="Times"/>
        </w:rPr>
        <w:t xml:space="preserve"> of r</w:t>
      </w:r>
      <w:r w:rsidR="00E67F5D">
        <w:rPr>
          <w:rFonts w:ascii="Times" w:hAnsi="Times"/>
        </w:rPr>
        <w:t xml:space="preserve">andomly </w:t>
      </w:r>
      <w:r w:rsidR="002D125D">
        <w:rPr>
          <w:rFonts w:ascii="Times" w:hAnsi="Times"/>
        </w:rPr>
        <w:t>sample</w:t>
      </w:r>
      <w:r w:rsidR="00FB65CD">
        <w:rPr>
          <w:rFonts w:ascii="Times" w:hAnsi="Times"/>
        </w:rPr>
        <w:t>d</w:t>
      </w:r>
      <w:r w:rsidR="002D125D">
        <w:rPr>
          <w:rFonts w:ascii="Times" w:hAnsi="Times"/>
        </w:rPr>
        <w:t xml:space="preserve"> </w:t>
      </w:r>
      <w:r w:rsidR="00E67F5D">
        <w:rPr>
          <w:rFonts w:ascii="Times" w:hAnsi="Times"/>
        </w:rPr>
        <w:t>DMSO wells (from N=540 wells) were used to generate a null distribution. We determined a cutoff</w:t>
      </w:r>
      <w:r w:rsidR="0049346A">
        <w:rPr>
          <w:rFonts w:ascii="Times" w:hAnsi="Times"/>
        </w:rPr>
        <w:t xml:space="preserve"> </w:t>
      </w:r>
      <w:r w:rsidR="0049346A">
        <w:rPr>
          <w:rFonts w:ascii="Times" w:hAnsi="Times"/>
          <w:i/>
        </w:rPr>
        <w:t>v</w:t>
      </w:r>
      <w:r w:rsidR="00E67F5D">
        <w:rPr>
          <w:rFonts w:ascii="Times" w:hAnsi="Times"/>
        </w:rPr>
        <w:t xml:space="preserve"> </w:t>
      </w:r>
      <w:r w:rsidR="00641D4A">
        <w:rPr>
          <w:rFonts w:ascii="Times" w:hAnsi="Times"/>
        </w:rPr>
        <w:t>in the</w:t>
      </w:r>
      <w:r w:rsidR="005223E1">
        <w:rPr>
          <w:rFonts w:ascii="Times" w:hAnsi="Times"/>
        </w:rPr>
        <w:t xml:space="preserve"> resulting distribution by </w:t>
      </w:r>
      <w:r>
        <w:rPr>
          <w:rFonts w:ascii="Times" w:hAnsi="Times"/>
        </w:rPr>
        <w:t>selecting</w:t>
      </w:r>
      <w:r w:rsidR="005223E1">
        <w:rPr>
          <w:rFonts w:ascii="Times" w:hAnsi="Times"/>
        </w:rPr>
        <w:t xml:space="preserve"> </w:t>
      </w:r>
      <w:r>
        <w:rPr>
          <w:rFonts w:ascii="Times" w:hAnsi="Times"/>
        </w:rPr>
        <w:t>acceptable false positive rate</w:t>
      </w:r>
      <w:r w:rsidR="00F959BB">
        <w:rPr>
          <w:rFonts w:ascii="Times" w:hAnsi="Times"/>
        </w:rPr>
        <w:t>s</w:t>
      </w:r>
      <w:r>
        <w:rPr>
          <w:rFonts w:ascii="Times" w:hAnsi="Times"/>
        </w:rPr>
        <w:t xml:space="preserve"> of 0.13%</w:t>
      </w:r>
      <w:r w:rsidR="0020448F">
        <w:rPr>
          <w:rFonts w:ascii="Times" w:hAnsi="Times"/>
        </w:rPr>
        <w:t xml:space="preserve"> or 0.013%</w:t>
      </w:r>
      <w:r>
        <w:rPr>
          <w:rFonts w:ascii="Times" w:hAnsi="Times"/>
        </w:rPr>
        <w:t xml:space="preserve">.  </w:t>
      </w:r>
      <w:r w:rsidR="00C81745">
        <w:rPr>
          <w:rFonts w:ascii="Times" w:hAnsi="Times"/>
        </w:rPr>
        <w:t xml:space="preserve">To determine the </w:t>
      </w:r>
      <w:r w:rsidR="002D125D">
        <w:rPr>
          <w:rFonts w:ascii="Times" w:hAnsi="Times"/>
        </w:rPr>
        <w:t>corresponding</w:t>
      </w:r>
      <w:r w:rsidR="00C81745">
        <w:rPr>
          <w:rFonts w:ascii="Times" w:hAnsi="Times"/>
        </w:rPr>
        <w:t xml:space="preserve"> false negative rate with respect to the rifampicin positive control, we </w:t>
      </w:r>
      <w:r w:rsidR="002D125D">
        <w:rPr>
          <w:rFonts w:ascii="Times" w:hAnsi="Times"/>
        </w:rPr>
        <w:t xml:space="preserve">similarly generated a distribution for the positive control, i.e., </w:t>
      </w:r>
      <w:r w:rsidR="002D125D" w:rsidRPr="00BF08D2">
        <w:rPr>
          <w:rFonts w:ascii="Times" w:hAnsi="Times"/>
        </w:rPr>
        <w:t xml:space="preserve">averages of pairs </w:t>
      </w:r>
      <w:r w:rsidR="002D125D">
        <w:rPr>
          <w:rFonts w:ascii="Times" w:hAnsi="Times"/>
        </w:rPr>
        <w:t>of randomly sampled rifampicin we</w:t>
      </w:r>
      <w:r w:rsidR="00FB65CD">
        <w:rPr>
          <w:rFonts w:ascii="Times" w:hAnsi="Times"/>
        </w:rPr>
        <w:t>lls (from N=</w:t>
      </w:r>
      <w:r w:rsidR="0037266D">
        <w:rPr>
          <w:rFonts w:ascii="Times" w:hAnsi="Times"/>
        </w:rPr>
        <w:t>32</w:t>
      </w:r>
      <w:r w:rsidR="00FB65CD">
        <w:rPr>
          <w:rFonts w:ascii="Times" w:hAnsi="Times"/>
        </w:rPr>
        <w:t xml:space="preserve"> wells</w:t>
      </w:r>
      <w:r w:rsidR="0037266D">
        <w:rPr>
          <w:rFonts w:ascii="Times" w:hAnsi="Times"/>
        </w:rPr>
        <w:t xml:space="preserve"> per dose</w:t>
      </w:r>
      <w:r w:rsidR="00FB65CD">
        <w:rPr>
          <w:rFonts w:ascii="Times" w:hAnsi="Times"/>
        </w:rPr>
        <w:t>) were used.</w:t>
      </w:r>
      <w:r w:rsidR="0049346A">
        <w:rPr>
          <w:rFonts w:ascii="Times" w:hAnsi="Times"/>
        </w:rPr>
        <w:t xml:space="preserve"> The false positive rate was given by the </w:t>
      </w:r>
      <w:r>
        <w:rPr>
          <w:rFonts w:ascii="Times" w:hAnsi="Times"/>
        </w:rPr>
        <w:t xml:space="preserve">fraction of </w:t>
      </w:r>
      <w:r w:rsidR="0049346A">
        <w:rPr>
          <w:rFonts w:ascii="Times" w:hAnsi="Times"/>
        </w:rPr>
        <w:t xml:space="preserve">the positive control readouts that fell </w:t>
      </w:r>
      <w:r w:rsidR="0049346A" w:rsidRPr="00BF08D2">
        <w:rPr>
          <w:rFonts w:ascii="Times" w:hAnsi="Times"/>
          <w:i/>
        </w:rPr>
        <w:t>above</w:t>
      </w:r>
      <w:r w:rsidR="0049346A">
        <w:rPr>
          <w:rFonts w:ascii="Times" w:hAnsi="Times"/>
        </w:rPr>
        <w:t xml:space="preserve"> the threshold </w:t>
      </w:r>
      <w:r w:rsidR="0049346A" w:rsidRPr="00BF08D2">
        <w:rPr>
          <w:rFonts w:ascii="Times" w:hAnsi="Times"/>
          <w:i/>
        </w:rPr>
        <w:t>v</w:t>
      </w:r>
      <w:r w:rsidR="0049346A">
        <w:rPr>
          <w:rFonts w:ascii="Times" w:hAnsi="Times"/>
        </w:rPr>
        <w:t>.</w:t>
      </w:r>
      <w:r w:rsidR="003B2F41">
        <w:rPr>
          <w:rFonts w:ascii="Times" w:hAnsi="Times"/>
        </w:rPr>
        <w:t xml:space="preserve"> </w:t>
      </w:r>
      <w:proofErr w:type="gramStart"/>
      <w:r w:rsidR="0020448F">
        <w:rPr>
          <w:rFonts w:ascii="Times" w:hAnsi="Times"/>
        </w:rPr>
        <w:t>Using</w:t>
      </w:r>
      <w:proofErr w:type="gramEnd"/>
      <w:r w:rsidR="0020448F">
        <w:rPr>
          <w:rFonts w:ascii="Times" w:hAnsi="Times"/>
        </w:rPr>
        <w:t xml:space="preserve"> this method, at 50% inhibition we observed a false negative rate of 0.195%, indicating that our assay was robust to detect even modest levels of inhibition.  The performance of the assay at greater </w:t>
      </w:r>
      <w:r w:rsidR="00EB45DD">
        <w:rPr>
          <w:rFonts w:ascii="Times" w:hAnsi="Times"/>
        </w:rPr>
        <w:t xml:space="preserve">levels of </w:t>
      </w:r>
      <w:r w:rsidR="0020448F">
        <w:rPr>
          <w:rFonts w:ascii="Times" w:hAnsi="Times"/>
        </w:rPr>
        <w:t>inhibition</w:t>
      </w:r>
      <w:r w:rsidR="00EB45DD">
        <w:rPr>
          <w:rFonts w:ascii="Times" w:hAnsi="Times"/>
        </w:rPr>
        <w:t xml:space="preserve"> </w:t>
      </w:r>
      <w:r w:rsidR="00213CED">
        <w:rPr>
          <w:rFonts w:ascii="Times" w:hAnsi="Times"/>
        </w:rPr>
        <w:t xml:space="preserve">was </w:t>
      </w:r>
      <w:r w:rsidR="0020448F">
        <w:rPr>
          <w:rFonts w:ascii="Times" w:hAnsi="Times"/>
        </w:rPr>
        <w:t>even more robust.</w:t>
      </w:r>
    </w:p>
    <w:p w14:paraId="2EF27992" w14:textId="77777777" w:rsidR="00EF613F" w:rsidRDefault="00EF613F" w:rsidP="00EB45E9">
      <w:pPr>
        <w:spacing w:line="360" w:lineRule="auto"/>
        <w:rPr>
          <w:rFonts w:ascii="Times" w:hAnsi="Time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236"/>
        <w:gridCol w:w="2228"/>
        <w:gridCol w:w="2463"/>
      </w:tblGrid>
      <w:tr w:rsidR="00EF613F" w:rsidRPr="00EB45DD" w:rsidDel="00770571" w14:paraId="329432E4" w14:textId="77777777" w:rsidTr="00EF613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0B3D6" w14:textId="77777777" w:rsidR="00EF613F" w:rsidRPr="00EF613F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u w:val="single"/>
                <w:lang w:bidi="x-none"/>
              </w:rPr>
            </w:pPr>
          </w:p>
          <w:p w14:paraId="684FE551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[</w:t>
            </w:r>
            <w:proofErr w:type="gram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Rifampicin]</w:t>
            </w:r>
            <w:proofErr w:type="spell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uM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D46B1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</w:p>
          <w:p w14:paraId="6A2DCE36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% </w:t>
            </w:r>
            <w:proofErr w:type="gram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inhibition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CEC9E" w14:textId="4D40FF7F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% </w:t>
            </w:r>
            <w:proofErr w:type="gram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false</w:t>
            </w:r>
            <w:proofErr w:type="gramEnd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 negat</w:t>
            </w:r>
            <w:r w:rsidR="00FA1013">
              <w:rPr>
                <w:rFonts w:ascii="Arial" w:hAnsi="Arial"/>
                <w:b/>
                <w:sz w:val="18"/>
                <w:lang w:bidi="x-none"/>
              </w:rPr>
              <w:t>ive</w:t>
            </w:r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 rate</w:t>
            </w:r>
          </w:p>
          <w:p w14:paraId="741E6507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  <w:proofErr w:type="gram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at</w:t>
            </w:r>
            <w:proofErr w:type="gramEnd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 0.13% false positives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16B2A8" w14:textId="51967A1C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% </w:t>
            </w:r>
            <w:proofErr w:type="gram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false</w:t>
            </w:r>
            <w:proofErr w:type="gramEnd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 negat</w:t>
            </w:r>
            <w:r w:rsidR="00FA1013">
              <w:rPr>
                <w:rFonts w:ascii="Arial" w:hAnsi="Arial"/>
                <w:b/>
                <w:sz w:val="18"/>
                <w:lang w:bidi="x-none"/>
              </w:rPr>
              <w:t>ive</w:t>
            </w:r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 rate</w:t>
            </w:r>
          </w:p>
          <w:p w14:paraId="7AD0AD45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b/>
                <w:sz w:val="18"/>
                <w:lang w:bidi="x-none"/>
              </w:rPr>
            </w:pPr>
            <w:proofErr w:type="gramStart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>at</w:t>
            </w:r>
            <w:proofErr w:type="gramEnd"/>
            <w:r w:rsidRPr="00EB45DD" w:rsidDel="00770571">
              <w:rPr>
                <w:rFonts w:ascii="Arial" w:hAnsi="Arial"/>
                <w:b/>
                <w:sz w:val="18"/>
                <w:lang w:bidi="x-none"/>
              </w:rPr>
              <w:t xml:space="preserve"> 0.013% false positives</w:t>
            </w:r>
          </w:p>
        </w:tc>
      </w:tr>
      <w:tr w:rsidR="00EF613F" w:rsidRPr="00EB45DD" w:rsidDel="00770571" w14:paraId="27AEF948" w14:textId="77777777" w:rsidTr="00EF613F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A71345C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0.0163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3F29DF6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DA2DFF9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0.195</w:t>
            </w:r>
          </w:p>
        </w:tc>
        <w:tc>
          <w:tcPr>
            <w:tcW w:w="246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C774C18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4.19</w:t>
            </w:r>
          </w:p>
        </w:tc>
      </w:tr>
      <w:tr w:rsidR="00EF613F" w:rsidRPr="00EB45DD" w:rsidDel="00770571" w14:paraId="7A23A3DA" w14:textId="77777777" w:rsidTr="00EF613F">
        <w:trPr>
          <w:jc w:val="center"/>
        </w:trPr>
        <w:tc>
          <w:tcPr>
            <w:tcW w:w="0" w:type="auto"/>
            <w:shd w:val="clear" w:color="auto" w:fill="auto"/>
          </w:tcPr>
          <w:p w14:paraId="7E9DFA59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0.0325</w:t>
            </w:r>
          </w:p>
        </w:tc>
        <w:tc>
          <w:tcPr>
            <w:tcW w:w="0" w:type="auto"/>
            <w:shd w:val="clear" w:color="auto" w:fill="auto"/>
          </w:tcPr>
          <w:p w14:paraId="0D9A1535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65%</w:t>
            </w:r>
          </w:p>
        </w:tc>
        <w:tc>
          <w:tcPr>
            <w:tcW w:w="0" w:type="auto"/>
            <w:shd w:val="clear" w:color="auto" w:fill="auto"/>
          </w:tcPr>
          <w:p w14:paraId="6B2C42E1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0.165</w:t>
            </w:r>
          </w:p>
        </w:tc>
        <w:tc>
          <w:tcPr>
            <w:tcW w:w="2463" w:type="dxa"/>
            <w:tcBorders>
              <w:right w:val="nil"/>
            </w:tcBorders>
            <w:shd w:val="clear" w:color="auto" w:fill="auto"/>
          </w:tcPr>
          <w:p w14:paraId="1C0EAD86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0.78</w:t>
            </w:r>
          </w:p>
        </w:tc>
      </w:tr>
      <w:tr w:rsidR="00EF613F" w:rsidRPr="00EB45DD" w:rsidDel="00770571" w14:paraId="00DB9014" w14:textId="77777777" w:rsidTr="00EF613F">
        <w:trPr>
          <w:jc w:val="center"/>
        </w:trPr>
        <w:tc>
          <w:tcPr>
            <w:tcW w:w="0" w:type="auto"/>
            <w:shd w:val="clear" w:color="auto" w:fill="auto"/>
          </w:tcPr>
          <w:p w14:paraId="4451C88C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0.065</w:t>
            </w:r>
          </w:p>
        </w:tc>
        <w:tc>
          <w:tcPr>
            <w:tcW w:w="0" w:type="auto"/>
            <w:shd w:val="clear" w:color="auto" w:fill="auto"/>
          </w:tcPr>
          <w:p w14:paraId="1087817F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85%</w:t>
            </w:r>
          </w:p>
        </w:tc>
        <w:tc>
          <w:tcPr>
            <w:tcW w:w="0" w:type="auto"/>
            <w:shd w:val="clear" w:color="auto" w:fill="auto"/>
          </w:tcPr>
          <w:p w14:paraId="397FA86C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&lt; 1e-4</w:t>
            </w:r>
          </w:p>
        </w:tc>
        <w:tc>
          <w:tcPr>
            <w:tcW w:w="2463" w:type="dxa"/>
            <w:tcBorders>
              <w:right w:val="nil"/>
            </w:tcBorders>
            <w:shd w:val="clear" w:color="auto" w:fill="auto"/>
          </w:tcPr>
          <w:p w14:paraId="716D156B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&lt;1e-4</w:t>
            </w:r>
          </w:p>
        </w:tc>
      </w:tr>
      <w:tr w:rsidR="00EF613F" w:rsidRPr="00EB45DD" w:rsidDel="00770571" w14:paraId="5EB321EA" w14:textId="77777777" w:rsidTr="00EF613F">
        <w:trPr>
          <w:jc w:val="center"/>
        </w:trPr>
        <w:tc>
          <w:tcPr>
            <w:tcW w:w="0" w:type="auto"/>
            <w:shd w:val="clear" w:color="auto" w:fill="auto"/>
          </w:tcPr>
          <w:p w14:paraId="0232F974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0.13</w:t>
            </w:r>
          </w:p>
        </w:tc>
        <w:tc>
          <w:tcPr>
            <w:tcW w:w="0" w:type="auto"/>
            <w:shd w:val="clear" w:color="auto" w:fill="auto"/>
          </w:tcPr>
          <w:p w14:paraId="789894BB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95%</w:t>
            </w:r>
          </w:p>
        </w:tc>
        <w:tc>
          <w:tcPr>
            <w:tcW w:w="0" w:type="auto"/>
            <w:shd w:val="clear" w:color="auto" w:fill="auto"/>
          </w:tcPr>
          <w:p w14:paraId="108EBB1D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&lt; 1e-4</w:t>
            </w:r>
          </w:p>
        </w:tc>
        <w:tc>
          <w:tcPr>
            <w:tcW w:w="2463" w:type="dxa"/>
            <w:tcBorders>
              <w:right w:val="nil"/>
            </w:tcBorders>
            <w:shd w:val="clear" w:color="auto" w:fill="auto"/>
          </w:tcPr>
          <w:p w14:paraId="4EAD055A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&lt;1e-4</w:t>
            </w:r>
          </w:p>
        </w:tc>
      </w:tr>
      <w:tr w:rsidR="00EF613F" w:rsidRPr="00EB45DD" w:rsidDel="00770571" w14:paraId="0C6890DB" w14:textId="77777777" w:rsidTr="00EF613F">
        <w:trPr>
          <w:jc w:val="center"/>
        </w:trPr>
        <w:tc>
          <w:tcPr>
            <w:tcW w:w="0" w:type="auto"/>
            <w:shd w:val="clear" w:color="auto" w:fill="auto"/>
          </w:tcPr>
          <w:p w14:paraId="1928EE25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0.26</w:t>
            </w:r>
          </w:p>
        </w:tc>
        <w:tc>
          <w:tcPr>
            <w:tcW w:w="0" w:type="auto"/>
            <w:shd w:val="clear" w:color="auto" w:fill="auto"/>
          </w:tcPr>
          <w:p w14:paraId="5244B6A4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98%</w:t>
            </w:r>
          </w:p>
        </w:tc>
        <w:tc>
          <w:tcPr>
            <w:tcW w:w="0" w:type="auto"/>
            <w:shd w:val="clear" w:color="auto" w:fill="auto"/>
          </w:tcPr>
          <w:p w14:paraId="311F8A12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&lt; 1e-4</w:t>
            </w:r>
          </w:p>
        </w:tc>
        <w:tc>
          <w:tcPr>
            <w:tcW w:w="2463" w:type="dxa"/>
            <w:tcBorders>
              <w:right w:val="nil"/>
            </w:tcBorders>
            <w:shd w:val="clear" w:color="auto" w:fill="auto"/>
          </w:tcPr>
          <w:p w14:paraId="22009BDF" w14:textId="77777777" w:rsidR="00EF613F" w:rsidRPr="00EB45DD" w:rsidDel="00770571" w:rsidRDefault="00EF613F" w:rsidP="00EF613F">
            <w:pPr>
              <w:jc w:val="center"/>
              <w:rPr>
                <w:rFonts w:ascii="Arial" w:hAnsi="Arial"/>
                <w:sz w:val="20"/>
                <w:lang w:bidi="x-none"/>
              </w:rPr>
            </w:pPr>
            <w:r w:rsidRPr="00EB45DD" w:rsidDel="00770571">
              <w:rPr>
                <w:rFonts w:ascii="Arial" w:hAnsi="Arial"/>
                <w:sz w:val="20"/>
                <w:lang w:bidi="x-none"/>
              </w:rPr>
              <w:t>&lt;1e-4</w:t>
            </w:r>
          </w:p>
        </w:tc>
      </w:tr>
    </w:tbl>
    <w:p w14:paraId="2289E90B" w14:textId="77777777" w:rsidR="00EF613F" w:rsidRPr="009F51A1" w:rsidRDefault="00EF613F" w:rsidP="00EF613F">
      <w:pPr>
        <w:rPr>
          <w:rFonts w:ascii="Arial" w:hAnsi="Arial"/>
          <w:sz w:val="22"/>
        </w:rPr>
      </w:pPr>
    </w:p>
    <w:p w14:paraId="1FBE096A" w14:textId="77777777" w:rsidR="00EF613F" w:rsidRPr="00767E87" w:rsidRDefault="00EF613F" w:rsidP="00EF613F">
      <w:pPr>
        <w:jc w:val="both"/>
        <w:rPr>
          <w:rFonts w:ascii="Arial" w:hAnsi="Arial"/>
          <w:b/>
          <w:sz w:val="22"/>
        </w:rPr>
      </w:pPr>
    </w:p>
    <w:p w14:paraId="587BE6BF" w14:textId="77777777" w:rsidR="00EF613F" w:rsidRPr="00767E87" w:rsidRDefault="00EF613F" w:rsidP="00EF613F">
      <w:pPr>
        <w:jc w:val="both"/>
        <w:rPr>
          <w:rFonts w:ascii="Arial" w:hAnsi="Arial"/>
          <w:b/>
          <w:sz w:val="22"/>
        </w:rPr>
      </w:pPr>
    </w:p>
    <w:p w14:paraId="245012EB" w14:textId="77777777" w:rsidR="00EF613F" w:rsidRPr="00767E87" w:rsidRDefault="00EF613F" w:rsidP="00EF613F">
      <w:pPr>
        <w:jc w:val="both"/>
        <w:rPr>
          <w:rFonts w:ascii="Arial" w:hAnsi="Arial"/>
          <w:b/>
          <w:sz w:val="22"/>
        </w:rPr>
      </w:pPr>
    </w:p>
    <w:p w14:paraId="175BC491" w14:textId="77777777" w:rsidR="00EF613F" w:rsidRPr="00EB45DD" w:rsidRDefault="00EF613F" w:rsidP="00EB45E9">
      <w:pPr>
        <w:spacing w:line="360" w:lineRule="auto"/>
        <w:rPr>
          <w:rFonts w:ascii="Times" w:hAnsi="Times"/>
        </w:rPr>
      </w:pPr>
    </w:p>
    <w:p w14:paraId="2BE7987A" w14:textId="77777777" w:rsidR="00BE5F89" w:rsidRDefault="00BE5F89" w:rsidP="00EB45E9">
      <w:pPr>
        <w:spacing w:line="360" w:lineRule="auto"/>
        <w:rPr>
          <w:rFonts w:ascii="Times" w:hAnsi="Times"/>
          <w:i/>
        </w:rPr>
      </w:pPr>
    </w:p>
    <w:p w14:paraId="6ED13E95" w14:textId="77777777" w:rsidR="00BE5F89" w:rsidRDefault="00BE5F89" w:rsidP="00EB45E9">
      <w:pPr>
        <w:spacing w:line="360" w:lineRule="auto"/>
        <w:rPr>
          <w:rFonts w:ascii="Times" w:hAnsi="Times"/>
          <w:i/>
        </w:rPr>
      </w:pPr>
    </w:p>
    <w:p w14:paraId="1AD8055D" w14:textId="7E7F0B71" w:rsidR="00815BF5" w:rsidRPr="00815BF5" w:rsidRDefault="00EF613F">
      <w:pPr>
        <w:spacing w:line="360" w:lineRule="auto"/>
        <w:rPr>
          <w:rFonts w:ascii="Times" w:hAnsi="Times"/>
          <w:b/>
        </w:rPr>
      </w:pPr>
      <w:proofErr w:type="gramStart"/>
      <w:r w:rsidRPr="00815BF5">
        <w:rPr>
          <w:rFonts w:ascii="Times" w:hAnsi="Times"/>
          <w:b/>
        </w:rPr>
        <w:t>p</w:t>
      </w:r>
      <w:proofErr w:type="gramEnd"/>
      <w:r w:rsidRPr="00815BF5">
        <w:rPr>
          <w:rFonts w:ascii="Times" w:hAnsi="Times"/>
          <w:b/>
        </w:rPr>
        <w:t xml:space="preserve">-value calculation using Bootstrap </w:t>
      </w:r>
      <w:r w:rsidR="008114AB" w:rsidRPr="00815BF5">
        <w:rPr>
          <w:rFonts w:ascii="Times" w:hAnsi="Times"/>
          <w:b/>
        </w:rPr>
        <w:t>Monte Carlo</w:t>
      </w:r>
    </w:p>
    <w:p w14:paraId="6F5FDC99" w14:textId="33347526" w:rsidR="00F959BB" w:rsidRDefault="00CE535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Fo</w:t>
      </w:r>
      <w:r w:rsidR="005375EF">
        <w:rPr>
          <w:rFonts w:ascii="Times" w:hAnsi="Times"/>
        </w:rPr>
        <w:t xml:space="preserve">r a given compound, </w:t>
      </w:r>
      <w:r>
        <w:rPr>
          <w:rFonts w:ascii="Times" w:hAnsi="Times"/>
        </w:rPr>
        <w:t>the</w:t>
      </w:r>
      <w:r w:rsidR="005375EF">
        <w:rPr>
          <w:rFonts w:ascii="Times" w:hAnsi="Times"/>
        </w:rPr>
        <w:t xml:space="preserve"> p-value was determined by calculating the fraction of samples from the null distribution</w:t>
      </w:r>
      <w:r>
        <w:rPr>
          <w:rFonts w:ascii="Times" w:hAnsi="Times"/>
        </w:rPr>
        <w:t xml:space="preserve"> (generated above) that were below the readout for that compound. </w:t>
      </w:r>
      <w:r w:rsidR="00C81745">
        <w:rPr>
          <w:rFonts w:ascii="Times" w:hAnsi="Times"/>
        </w:rPr>
        <w:t xml:space="preserve">In specific, the p-value </w:t>
      </w:r>
      <w:r w:rsidR="007E2167">
        <w:rPr>
          <w:rFonts w:ascii="Times" w:hAnsi="Times"/>
        </w:rPr>
        <w:t xml:space="preserve">for a compound </w:t>
      </w:r>
      <w:r w:rsidR="00C81745">
        <w:rPr>
          <w:rFonts w:ascii="Times" w:hAnsi="Times"/>
        </w:rPr>
        <w:t>is given by</w:t>
      </w:r>
    </w:p>
    <w:p w14:paraId="40B18F5D" w14:textId="1F20B72F" w:rsidR="00EF613F" w:rsidRDefault="001F03FF" w:rsidP="00EB45E9">
      <w:pPr>
        <w:spacing w:line="360" w:lineRule="auto"/>
        <w:rPr>
          <w:rFonts w:ascii="Times" w:hAnsi="Times"/>
          <w:i/>
        </w:rPr>
      </w:pPr>
      <w:r>
        <w:rPr>
          <w:rFonts w:ascii="Times" w:hAnsi="Times"/>
          <w:i/>
          <w:noProof/>
        </w:rPr>
        <w:drawing>
          <wp:inline distT="0" distB="0" distL="0" distR="0" wp14:anchorId="24AE7C03" wp14:editId="76F477A7">
            <wp:extent cx="685800" cy="581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0" cy="5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A232D" w14:textId="18A9B3EF" w:rsidR="00F959BB" w:rsidRPr="00EB45DD" w:rsidRDefault="00F959BB" w:rsidP="00EB45E9">
      <w:pPr>
        <w:spacing w:line="360" w:lineRule="auto"/>
        <w:rPr>
          <w:rFonts w:ascii="Times" w:hAnsi="Times"/>
        </w:rPr>
      </w:pPr>
      <w:proofErr w:type="gramStart"/>
      <w:r>
        <w:rPr>
          <w:rFonts w:ascii="Times" w:hAnsi="Times"/>
        </w:rPr>
        <w:t>where</w:t>
      </w:r>
      <w:proofErr w:type="gramEnd"/>
      <w:r>
        <w:rPr>
          <w:rFonts w:ascii="Times" w:hAnsi="Times"/>
        </w:rPr>
        <w:t xml:space="preserve"> n = the </w:t>
      </w:r>
      <w:r w:rsidR="007E2167">
        <w:rPr>
          <w:rFonts w:ascii="Times" w:hAnsi="Times"/>
        </w:rPr>
        <w:t xml:space="preserve">total </w:t>
      </w:r>
      <w:r>
        <w:rPr>
          <w:rFonts w:ascii="Times" w:hAnsi="Times"/>
        </w:rPr>
        <w:t xml:space="preserve">number of </w:t>
      </w:r>
      <w:r w:rsidR="007E2167">
        <w:rPr>
          <w:rFonts w:ascii="Times" w:hAnsi="Times"/>
        </w:rPr>
        <w:t>samples in the null distribution and r = the number of samples from the null distribution with a value below the readout for that compound.</w:t>
      </w:r>
    </w:p>
    <w:p w14:paraId="505F10F3" w14:textId="77777777" w:rsidR="00F959BB" w:rsidRDefault="00F959BB" w:rsidP="00EB45E9">
      <w:pPr>
        <w:spacing w:line="360" w:lineRule="auto"/>
        <w:rPr>
          <w:rFonts w:ascii="Times" w:hAnsi="Times"/>
          <w:i/>
        </w:rPr>
      </w:pPr>
    </w:p>
    <w:p w14:paraId="092BC4AE" w14:textId="77777777" w:rsidR="001F03FF" w:rsidRDefault="001F03FF" w:rsidP="00EB45E9">
      <w:pPr>
        <w:spacing w:line="360" w:lineRule="auto"/>
        <w:rPr>
          <w:rFonts w:ascii="Times" w:hAnsi="Times"/>
          <w:i/>
        </w:rPr>
      </w:pPr>
    </w:p>
    <w:p w14:paraId="6AE6E9AE" w14:textId="55C64227" w:rsidR="00815BF5" w:rsidRPr="00815BF5" w:rsidRDefault="00137FDB" w:rsidP="00EB45E9">
      <w:pPr>
        <w:spacing w:line="360" w:lineRule="auto"/>
        <w:rPr>
          <w:rFonts w:ascii="Times" w:hAnsi="Times"/>
          <w:b/>
        </w:rPr>
      </w:pPr>
      <w:r w:rsidRPr="00815BF5">
        <w:rPr>
          <w:rFonts w:ascii="Times" w:hAnsi="Times"/>
          <w:b/>
          <w:noProof/>
        </w:rPr>
        <w:drawing>
          <wp:anchor distT="0" distB="0" distL="114300" distR="114300" simplePos="0" relativeHeight="251658240" behindDoc="0" locked="0" layoutInCell="1" allowOverlap="1" wp14:anchorId="76C83F92" wp14:editId="7B3BBD0C">
            <wp:simplePos x="0" y="0"/>
            <wp:positionH relativeFrom="column">
              <wp:posOffset>0</wp:posOffset>
            </wp:positionH>
            <wp:positionV relativeFrom="paragraph">
              <wp:posOffset>534035</wp:posOffset>
            </wp:positionV>
            <wp:extent cx="914400" cy="573405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32CC" w:rsidRPr="00815BF5">
        <w:rPr>
          <w:rFonts w:ascii="Times" w:hAnsi="Times"/>
          <w:b/>
        </w:rPr>
        <w:t>z</w:t>
      </w:r>
      <w:proofErr w:type="gramEnd"/>
      <w:r w:rsidR="00815BF5">
        <w:rPr>
          <w:rFonts w:ascii="Times" w:hAnsi="Times"/>
          <w:b/>
        </w:rPr>
        <w:t>-score calculation</w:t>
      </w:r>
      <w:r w:rsidR="00EB45E9" w:rsidRPr="00815BF5">
        <w:rPr>
          <w:rFonts w:ascii="Times" w:hAnsi="Times"/>
          <w:b/>
        </w:rPr>
        <w:t xml:space="preserve">   </w:t>
      </w:r>
    </w:p>
    <w:p w14:paraId="08C57074" w14:textId="379FAD53" w:rsidR="00EB45E9" w:rsidRPr="000B2F14" w:rsidRDefault="00EB45E9" w:rsidP="00EB45E9">
      <w:pPr>
        <w:spacing w:line="360" w:lineRule="auto"/>
        <w:rPr>
          <w:rFonts w:ascii="Times" w:hAnsi="Times"/>
          <w:b/>
        </w:rPr>
      </w:pPr>
      <w:r w:rsidRPr="000B2F14">
        <w:rPr>
          <w:rFonts w:ascii="Times" w:hAnsi="Times"/>
        </w:rPr>
        <w:t xml:space="preserve">For each replicate in the screen a </w:t>
      </w:r>
      <w:proofErr w:type="gramStart"/>
      <w:r w:rsidRPr="000B2F14">
        <w:rPr>
          <w:rFonts w:ascii="Times" w:hAnsi="Times"/>
        </w:rPr>
        <w:t>z-score</w:t>
      </w:r>
      <w:proofErr w:type="gramEnd"/>
      <w:r w:rsidRPr="000B2F14">
        <w:rPr>
          <w:rFonts w:ascii="Times" w:hAnsi="Times"/>
        </w:rPr>
        <w:t xml:space="preserve"> was calculated usin</w:t>
      </w:r>
      <w:r w:rsidR="00137FDB" w:rsidRPr="000B2F14">
        <w:rPr>
          <w:rFonts w:ascii="Times" w:hAnsi="Times"/>
        </w:rPr>
        <w:t>g the following formula:</w:t>
      </w:r>
      <w:r w:rsidRPr="000B2F14">
        <w:rPr>
          <w:rFonts w:ascii="Times" w:hAnsi="Times"/>
          <w:b/>
        </w:rPr>
        <w:t xml:space="preserve"> </w:t>
      </w:r>
    </w:p>
    <w:p w14:paraId="1977C073" w14:textId="53CC2713" w:rsidR="00EB45E9" w:rsidRPr="000B2F14" w:rsidRDefault="00137FDB" w:rsidP="00EB45E9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  <w:b/>
        </w:rPr>
        <w:t xml:space="preserve"> </w:t>
      </w:r>
      <w:proofErr w:type="gramStart"/>
      <w:r w:rsidR="00EB45E9" w:rsidRPr="000B2F14">
        <w:rPr>
          <w:rFonts w:ascii="Times" w:hAnsi="Times"/>
        </w:rPr>
        <w:t>where</w:t>
      </w:r>
      <w:proofErr w:type="gramEnd"/>
      <w:r w:rsidR="00EB45E9" w:rsidRPr="000B2F14">
        <w:rPr>
          <w:rFonts w:ascii="Times" w:hAnsi="Times"/>
        </w:rPr>
        <w:t xml:space="preserve"> x = the normalized integrated intensity, </w:t>
      </w:r>
      <w:r w:rsidRPr="000B2F14">
        <w:rPr>
          <w:rFonts w:ascii="Times" w:hAnsi="Times"/>
        </w:rPr>
        <w:t xml:space="preserve">μ = the mean of the DMSO controls, and σ = the standard deviation of the DMSO controls.  To calculate the composite </w:t>
      </w:r>
      <w:proofErr w:type="gramStart"/>
      <w:r w:rsidRPr="000B2F14">
        <w:rPr>
          <w:rFonts w:ascii="Times" w:hAnsi="Times"/>
        </w:rPr>
        <w:t>z-score</w:t>
      </w:r>
      <w:proofErr w:type="gramEnd"/>
      <w:r w:rsidRPr="000B2F14">
        <w:rPr>
          <w:rFonts w:ascii="Times" w:hAnsi="Times"/>
        </w:rPr>
        <w:t xml:space="preserve"> each individual z-score </w:t>
      </w:r>
      <w:r w:rsidR="00B0369B" w:rsidRPr="000B2F14">
        <w:rPr>
          <w:rFonts w:ascii="Times" w:hAnsi="Times"/>
        </w:rPr>
        <w:t xml:space="preserve">(z1, z2) </w:t>
      </w:r>
      <w:r w:rsidRPr="000B2F14">
        <w:rPr>
          <w:rFonts w:ascii="Times" w:hAnsi="Times"/>
        </w:rPr>
        <w:t xml:space="preserve">was combined </w:t>
      </w:r>
      <w:r w:rsidR="00B0369B" w:rsidRPr="000B2F14">
        <w:rPr>
          <w:rFonts w:ascii="Times" w:hAnsi="Times"/>
        </w:rPr>
        <w:t>according to the following</w:t>
      </w:r>
      <w:r w:rsidR="00F76705" w:rsidRPr="000B2F14">
        <w:rPr>
          <w:rFonts w:ascii="Times" w:hAnsi="Times"/>
        </w:rPr>
        <w:t xml:space="preserve"> formulas</w:t>
      </w:r>
      <w:r w:rsidR="00B0369B" w:rsidRPr="000B2F14">
        <w:rPr>
          <w:rFonts w:ascii="Times" w:hAnsi="Times"/>
        </w:rPr>
        <w:t>:</w:t>
      </w:r>
    </w:p>
    <w:p w14:paraId="3E303F10" w14:textId="329D2547" w:rsidR="00B0369B" w:rsidRPr="000B2F14" w:rsidRDefault="00B0369B" w:rsidP="00EB45E9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>For z</w:t>
      </w:r>
      <w:r w:rsidR="00161666" w:rsidRPr="000B2F14">
        <w:rPr>
          <w:rFonts w:ascii="Times" w:hAnsi="Times"/>
        </w:rPr>
        <w:t>1</w:t>
      </w:r>
      <w:r w:rsidRPr="000B2F14">
        <w:rPr>
          <w:rFonts w:ascii="Times" w:hAnsi="Times"/>
        </w:rPr>
        <w:t xml:space="preserve"> &lt; 0:</w:t>
      </w:r>
    </w:p>
    <w:p w14:paraId="47317BEE" w14:textId="7FD49B80" w:rsidR="00161666" w:rsidRPr="000B2F14" w:rsidRDefault="00161666" w:rsidP="00EB45E9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  <w:noProof/>
        </w:rPr>
        <w:drawing>
          <wp:inline distT="0" distB="0" distL="0" distR="0" wp14:anchorId="75B68E8F" wp14:editId="70424728">
            <wp:extent cx="1718732" cy="656051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36" cy="6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73A3" w14:textId="75B249F5" w:rsidR="007248DA" w:rsidRPr="000B2F14" w:rsidRDefault="007248DA" w:rsidP="00EB45E9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>For z</w:t>
      </w:r>
      <w:r w:rsidR="00161666" w:rsidRPr="000B2F14">
        <w:rPr>
          <w:rFonts w:ascii="Times" w:hAnsi="Times"/>
        </w:rPr>
        <w:t>1</w:t>
      </w:r>
      <w:r w:rsidR="00E2403E" w:rsidRPr="000B2F14">
        <w:rPr>
          <w:rFonts w:ascii="Times" w:hAnsi="Times"/>
        </w:rPr>
        <w:t xml:space="preserve"> </w:t>
      </w:r>
      <w:r w:rsidRPr="000B2F14">
        <w:rPr>
          <w:rFonts w:ascii="Times" w:hAnsi="Times"/>
        </w:rPr>
        <w:t>&gt;</w:t>
      </w:r>
      <w:r w:rsidR="00E2403E" w:rsidRPr="000B2F14">
        <w:rPr>
          <w:rFonts w:ascii="Times" w:hAnsi="Times"/>
        </w:rPr>
        <w:t xml:space="preserve"> </w:t>
      </w:r>
      <w:r w:rsidRPr="000B2F14">
        <w:rPr>
          <w:rFonts w:ascii="Times" w:hAnsi="Times"/>
        </w:rPr>
        <w:t>0</w:t>
      </w:r>
      <w:r w:rsidR="00F76705" w:rsidRPr="000B2F14">
        <w:rPr>
          <w:rFonts w:ascii="Times" w:hAnsi="Times"/>
        </w:rPr>
        <w:t>:</w:t>
      </w:r>
    </w:p>
    <w:p w14:paraId="0FABD17A" w14:textId="3A267DA6" w:rsidR="00137FDB" w:rsidRPr="000B2F14" w:rsidRDefault="00E2403E" w:rsidP="00EB45E9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  <w:noProof/>
        </w:rPr>
        <w:drawing>
          <wp:inline distT="0" distB="0" distL="0" distR="0" wp14:anchorId="63AF8819" wp14:editId="32105E73">
            <wp:extent cx="1653444" cy="709286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21" cy="7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5441" w14:textId="6EF2E5B9" w:rsidR="007248DA" w:rsidRPr="000B2F14" w:rsidRDefault="00F76705" w:rsidP="00EB45E9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>C</w:t>
      </w:r>
      <w:r w:rsidR="00F871DD">
        <w:rPr>
          <w:rFonts w:ascii="Times" w:hAnsi="Times"/>
        </w:rPr>
        <w:t xml:space="preserve">omposite </w:t>
      </w:r>
      <w:proofErr w:type="gramStart"/>
      <w:r w:rsidR="00F871DD">
        <w:rPr>
          <w:rFonts w:ascii="Times" w:hAnsi="Times"/>
        </w:rPr>
        <w:t>z-</w:t>
      </w:r>
      <w:r w:rsidR="00E2403E" w:rsidRPr="000B2F14">
        <w:rPr>
          <w:rFonts w:ascii="Times" w:hAnsi="Times"/>
        </w:rPr>
        <w:t>score</w:t>
      </w:r>
      <w:proofErr w:type="gramEnd"/>
      <w:r w:rsidR="00E2403E" w:rsidRPr="000B2F14">
        <w:rPr>
          <w:rFonts w:ascii="Times" w:hAnsi="Times"/>
        </w:rPr>
        <w:t>:</w:t>
      </w:r>
    </w:p>
    <w:p w14:paraId="56C076EA" w14:textId="1B0CAC2D" w:rsidR="007248DA" w:rsidRPr="000B2F14" w:rsidRDefault="004732CC" w:rsidP="00EB45E9">
      <w:pPr>
        <w:spacing w:line="360" w:lineRule="auto"/>
        <w:rPr>
          <w:rFonts w:ascii="Times" w:hAnsi="Times"/>
          <w:b/>
        </w:rPr>
      </w:pPr>
      <w:r w:rsidRPr="000B2F14">
        <w:rPr>
          <w:rFonts w:ascii="Times" w:hAnsi="Times"/>
          <w:b/>
          <w:noProof/>
        </w:rPr>
        <w:drawing>
          <wp:inline distT="0" distB="0" distL="0" distR="0" wp14:anchorId="2BCE1300" wp14:editId="4500DCA1">
            <wp:extent cx="2629974" cy="646656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34" cy="64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E7BC" w14:textId="77777777" w:rsidR="00EB45E9" w:rsidRPr="000B2F14" w:rsidRDefault="00EB45E9" w:rsidP="00EB45E9">
      <w:pPr>
        <w:spacing w:line="360" w:lineRule="auto"/>
        <w:rPr>
          <w:rFonts w:ascii="Times" w:hAnsi="Times"/>
          <w:b/>
        </w:rPr>
      </w:pPr>
    </w:p>
    <w:p w14:paraId="31E4B18E" w14:textId="78F7CBA2" w:rsidR="00815BF5" w:rsidRPr="00815BF5" w:rsidRDefault="00815BF5" w:rsidP="00EB45E9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p-value calculation</w:t>
      </w:r>
    </w:p>
    <w:p w14:paraId="5F93EA04" w14:textId="2D7C50D4" w:rsidR="00EB45E9" w:rsidRPr="000B2F14" w:rsidRDefault="00EB45E9" w:rsidP="00EB45E9">
      <w:pPr>
        <w:spacing w:line="360" w:lineRule="auto"/>
        <w:rPr>
          <w:rFonts w:ascii="Times" w:hAnsi="Times"/>
          <w:b/>
        </w:rPr>
      </w:pPr>
      <w:proofErr w:type="spellStart"/>
      <w:r w:rsidRPr="000B2F14">
        <w:rPr>
          <w:rFonts w:ascii="Times" w:hAnsi="Times"/>
        </w:rPr>
        <w:t>GraphPad</w:t>
      </w:r>
      <w:proofErr w:type="spellEnd"/>
      <w:r w:rsidRPr="000B2F14">
        <w:rPr>
          <w:rFonts w:ascii="Times" w:hAnsi="Times"/>
        </w:rPr>
        <w:t xml:space="preserve"> Prism </w:t>
      </w:r>
      <w:r w:rsidR="004732CC" w:rsidRPr="000B2F14">
        <w:rPr>
          <w:rFonts w:ascii="Times" w:hAnsi="Times"/>
        </w:rPr>
        <w:t xml:space="preserve">was used </w:t>
      </w:r>
      <w:r w:rsidRPr="000B2F14">
        <w:rPr>
          <w:rFonts w:ascii="Times" w:hAnsi="Times"/>
        </w:rPr>
        <w:t>to calculate exact p-values using a two-tailed Mann</w:t>
      </w:r>
      <w:r w:rsidR="006D2D66" w:rsidRPr="000B2F14">
        <w:rPr>
          <w:rFonts w:ascii="Times" w:hAnsi="Times"/>
        </w:rPr>
        <w:t>-</w:t>
      </w:r>
      <w:r w:rsidRPr="000B2F14">
        <w:rPr>
          <w:rFonts w:ascii="Times" w:hAnsi="Times"/>
        </w:rPr>
        <w:t>Whitney U rank sum test.</w:t>
      </w:r>
    </w:p>
    <w:p w14:paraId="45FF6CBE" w14:textId="77777777" w:rsidR="00EB45E9" w:rsidRPr="000B2F14" w:rsidRDefault="00EB45E9" w:rsidP="00E76BC6">
      <w:pPr>
        <w:spacing w:line="360" w:lineRule="auto"/>
        <w:rPr>
          <w:rFonts w:ascii="Times" w:hAnsi="Times"/>
          <w:b/>
        </w:rPr>
      </w:pPr>
    </w:p>
    <w:p w14:paraId="72FB8605" w14:textId="6D6CE62F" w:rsidR="00E76BC6" w:rsidRPr="000B2F14" w:rsidRDefault="0081712D" w:rsidP="00E76BC6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Assay Development</w:t>
      </w:r>
    </w:p>
    <w:p w14:paraId="36515538" w14:textId="45146B4B" w:rsidR="00E76BC6" w:rsidRPr="000B2F14" w:rsidRDefault="00BE0A63" w:rsidP="00E76BC6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 xml:space="preserve">We sought </w:t>
      </w:r>
      <w:r w:rsidR="00F22A24">
        <w:rPr>
          <w:rFonts w:ascii="Times" w:hAnsi="Times"/>
        </w:rPr>
        <w:t xml:space="preserve">to develop </w:t>
      </w:r>
      <w:r w:rsidRPr="000B2F14">
        <w:rPr>
          <w:rFonts w:ascii="Times" w:hAnsi="Times"/>
        </w:rPr>
        <w:t xml:space="preserve">an assay </w:t>
      </w:r>
      <w:r w:rsidR="00B125B8">
        <w:rPr>
          <w:rFonts w:ascii="Times" w:hAnsi="Times"/>
        </w:rPr>
        <w:t>that</w:t>
      </w:r>
      <w:r w:rsidRPr="000B2F14">
        <w:rPr>
          <w:rFonts w:ascii="Times" w:hAnsi="Times"/>
        </w:rPr>
        <w:t xml:space="preserve"> </w:t>
      </w:r>
      <w:r w:rsidR="00F22A24">
        <w:rPr>
          <w:rFonts w:ascii="Times" w:hAnsi="Times"/>
        </w:rPr>
        <w:t>is</w:t>
      </w:r>
      <w:r w:rsidRPr="000B2F14">
        <w:rPr>
          <w:rFonts w:ascii="Times" w:hAnsi="Times"/>
        </w:rPr>
        <w:t xml:space="preserve"> sufficient</w:t>
      </w:r>
      <w:r w:rsidR="00F22A24">
        <w:rPr>
          <w:rFonts w:ascii="Times" w:hAnsi="Times"/>
        </w:rPr>
        <w:t>ly</w:t>
      </w:r>
      <w:r w:rsidR="00E76BC6" w:rsidRPr="000B2F14">
        <w:rPr>
          <w:rFonts w:ascii="Times" w:hAnsi="Times"/>
        </w:rPr>
        <w:t xml:space="preserve"> sensitiv</w:t>
      </w:r>
      <w:r w:rsidR="00F22A24">
        <w:rPr>
          <w:rFonts w:ascii="Times" w:hAnsi="Times"/>
        </w:rPr>
        <w:t>e</w:t>
      </w:r>
      <w:r w:rsidR="00E76BC6" w:rsidRPr="000B2F14">
        <w:rPr>
          <w:rFonts w:ascii="Times" w:hAnsi="Times"/>
        </w:rPr>
        <w:t xml:space="preserve"> to detect modest growth inhibition, </w:t>
      </w:r>
      <w:r w:rsidR="00F22A24">
        <w:rPr>
          <w:rFonts w:ascii="Times" w:hAnsi="Times"/>
        </w:rPr>
        <w:t>able to easily identify (and thus eliminate</w:t>
      </w:r>
      <w:r w:rsidR="00DE267E">
        <w:rPr>
          <w:rFonts w:ascii="Times" w:hAnsi="Times"/>
        </w:rPr>
        <w:t>)</w:t>
      </w:r>
      <w:r w:rsidR="00B125B8">
        <w:rPr>
          <w:rFonts w:ascii="Times" w:hAnsi="Times"/>
        </w:rPr>
        <w:t xml:space="preserve"> </w:t>
      </w:r>
      <w:r w:rsidR="00E76BC6" w:rsidRPr="000B2F14">
        <w:rPr>
          <w:rFonts w:ascii="Times" w:hAnsi="Times"/>
        </w:rPr>
        <w:t>compound</w:t>
      </w:r>
      <w:r w:rsidR="00B125B8">
        <w:rPr>
          <w:rFonts w:ascii="Times" w:hAnsi="Times"/>
        </w:rPr>
        <w:t>s</w:t>
      </w:r>
      <w:r w:rsidRPr="000B2F14">
        <w:rPr>
          <w:rFonts w:ascii="Times" w:hAnsi="Times"/>
        </w:rPr>
        <w:t xml:space="preserve"> </w:t>
      </w:r>
      <w:r w:rsidR="00E76BC6" w:rsidRPr="000B2F14">
        <w:rPr>
          <w:rFonts w:ascii="Times" w:hAnsi="Times"/>
        </w:rPr>
        <w:t xml:space="preserve">with significant macrophage toxicity, and </w:t>
      </w:r>
      <w:r w:rsidR="00F22A24">
        <w:rPr>
          <w:rFonts w:ascii="Times" w:hAnsi="Times"/>
        </w:rPr>
        <w:t>amenable</w:t>
      </w:r>
      <w:r w:rsidRPr="000B2F14">
        <w:rPr>
          <w:rFonts w:ascii="Times" w:hAnsi="Times"/>
        </w:rPr>
        <w:t xml:space="preserve"> to</w:t>
      </w:r>
      <w:r w:rsidR="00E76BC6" w:rsidRPr="000B2F14">
        <w:rPr>
          <w:rFonts w:ascii="Times" w:hAnsi="Times"/>
        </w:rPr>
        <w:t xml:space="preserve"> automat</w:t>
      </w:r>
      <w:r w:rsidRPr="000B2F14">
        <w:rPr>
          <w:rFonts w:ascii="Times" w:hAnsi="Times"/>
        </w:rPr>
        <w:t>ion</w:t>
      </w:r>
      <w:r w:rsidR="00E76BC6" w:rsidRPr="000B2F14">
        <w:rPr>
          <w:rFonts w:ascii="Times" w:hAnsi="Times"/>
        </w:rPr>
        <w:t xml:space="preserve"> to allow for the rapid testing of thousands of compounds.  </w:t>
      </w:r>
      <w:r w:rsidRPr="000B2F14">
        <w:rPr>
          <w:rFonts w:ascii="Times" w:hAnsi="Times"/>
        </w:rPr>
        <w:t>T</w:t>
      </w:r>
      <w:r w:rsidR="009F7018" w:rsidRPr="000B2F14">
        <w:rPr>
          <w:rFonts w:ascii="Times" w:hAnsi="Times"/>
        </w:rPr>
        <w:t>he u</w:t>
      </w:r>
      <w:r w:rsidR="003C41EE" w:rsidRPr="000B2F14">
        <w:rPr>
          <w:rFonts w:ascii="Times" w:hAnsi="Times"/>
        </w:rPr>
        <w:t>se of</w:t>
      </w:r>
      <w:r w:rsidR="009E6BF3">
        <w:rPr>
          <w:rFonts w:ascii="Times" w:hAnsi="Times"/>
        </w:rPr>
        <w:t xml:space="preserve"> a</w:t>
      </w:r>
      <w:r w:rsidR="003C41EE" w:rsidRPr="000B2F14">
        <w:rPr>
          <w:rFonts w:ascii="Times" w:hAnsi="Times"/>
        </w:rPr>
        <w:t xml:space="preserve"> bacterial luciferase</w:t>
      </w:r>
      <w:r w:rsidRPr="000B2F14">
        <w:rPr>
          <w:rFonts w:ascii="Times" w:hAnsi="Times"/>
        </w:rPr>
        <w:t xml:space="preserve"> reporter</w:t>
      </w:r>
      <w:r w:rsidR="009E6BF3">
        <w:rPr>
          <w:rFonts w:ascii="Times" w:hAnsi="Times"/>
        </w:rPr>
        <w:t xml:space="preserve"> endogenously </w:t>
      </w:r>
      <w:r w:rsidR="009E6BF3">
        <w:rPr>
          <w:rFonts w:ascii="Times" w:hAnsi="Times"/>
        </w:rPr>
        <w:lastRenderedPageBreak/>
        <w:t xml:space="preserve">expressing both enzyme and substrate in </w:t>
      </w:r>
      <w:r w:rsidR="009E6BF3" w:rsidRPr="002A0BAF">
        <w:rPr>
          <w:rFonts w:ascii="Times" w:hAnsi="Times"/>
          <w:i/>
        </w:rPr>
        <w:t>M. tuberculosis</w:t>
      </w:r>
      <w:r w:rsidR="009E6BF3">
        <w:rPr>
          <w:rFonts w:ascii="Times" w:hAnsi="Times"/>
        </w:rPr>
        <w:t xml:space="preserve"> </w:t>
      </w:r>
      <w:r w:rsidR="00945B14">
        <w:rPr>
          <w:rFonts w:ascii="Times" w:hAnsi="Times"/>
        </w:rPr>
        <w:t>was</w:t>
      </w:r>
      <w:r w:rsidRPr="000B2F14">
        <w:rPr>
          <w:rFonts w:ascii="Times" w:hAnsi="Times"/>
        </w:rPr>
        <w:t xml:space="preserve"> </w:t>
      </w:r>
      <w:r w:rsidR="009E6BF3">
        <w:rPr>
          <w:rFonts w:ascii="Times" w:hAnsi="Times"/>
        </w:rPr>
        <w:t>one option for reading out</w:t>
      </w:r>
      <w:r w:rsidRPr="000B2F14">
        <w:rPr>
          <w:rFonts w:ascii="Times" w:hAnsi="Times"/>
        </w:rPr>
        <w:t xml:space="preserve"> bacterial number; however, </w:t>
      </w:r>
      <w:r w:rsidR="00945B14">
        <w:rPr>
          <w:rFonts w:ascii="Times" w:hAnsi="Times"/>
        </w:rPr>
        <w:t xml:space="preserve">at the time of assay development, </w:t>
      </w:r>
      <w:r w:rsidR="003C41EE" w:rsidRPr="000B2F14">
        <w:rPr>
          <w:rFonts w:ascii="Times" w:hAnsi="Times"/>
        </w:rPr>
        <w:t>w</w:t>
      </w:r>
      <w:r w:rsidR="00E76BC6" w:rsidRPr="000B2F14">
        <w:rPr>
          <w:rFonts w:ascii="Times" w:hAnsi="Times"/>
        </w:rPr>
        <w:t>e were unable to obtain a strain</w:t>
      </w:r>
      <w:r w:rsidR="003C41EE" w:rsidRPr="000B2F14">
        <w:rPr>
          <w:rFonts w:ascii="Times" w:hAnsi="Times"/>
        </w:rPr>
        <w:t xml:space="preserve"> of </w:t>
      </w:r>
      <w:r w:rsidR="003C41EE" w:rsidRPr="000B2F14">
        <w:rPr>
          <w:rFonts w:ascii="Times" w:hAnsi="Times"/>
          <w:i/>
        </w:rPr>
        <w:t>M. tuberculosis</w:t>
      </w:r>
      <w:r w:rsidR="00E76BC6" w:rsidRPr="000B2F14">
        <w:rPr>
          <w:rFonts w:ascii="Times" w:hAnsi="Times"/>
        </w:rPr>
        <w:t xml:space="preserve"> expressing the bacterial </w:t>
      </w:r>
      <w:proofErr w:type="spellStart"/>
      <w:r w:rsidR="00E76BC6" w:rsidRPr="000B2F14">
        <w:rPr>
          <w:rFonts w:ascii="Times" w:hAnsi="Times"/>
          <w:i/>
        </w:rPr>
        <w:t>lux</w:t>
      </w:r>
      <w:r w:rsidR="003C41EE" w:rsidRPr="000B2F14">
        <w:rPr>
          <w:rFonts w:ascii="Times" w:hAnsi="Times"/>
          <w:i/>
        </w:rPr>
        <w:t>CDABE</w:t>
      </w:r>
      <w:proofErr w:type="spellEnd"/>
      <w:r w:rsidR="00E76BC6" w:rsidRPr="000B2F14">
        <w:rPr>
          <w:rFonts w:ascii="Times" w:hAnsi="Times"/>
          <w:i/>
        </w:rPr>
        <w:t xml:space="preserve"> </w:t>
      </w:r>
      <w:r w:rsidR="00E76BC6" w:rsidRPr="000B2F14">
        <w:rPr>
          <w:rFonts w:ascii="Times" w:hAnsi="Times"/>
        </w:rPr>
        <w:t>operon that was not growth</w:t>
      </w:r>
      <w:r w:rsidR="0013719A" w:rsidRPr="000B2F14">
        <w:rPr>
          <w:rFonts w:ascii="Times" w:hAnsi="Times"/>
        </w:rPr>
        <w:t>-</w:t>
      </w:r>
      <w:r w:rsidR="00E76BC6" w:rsidRPr="000B2F14">
        <w:rPr>
          <w:rFonts w:ascii="Times" w:hAnsi="Times"/>
        </w:rPr>
        <w:t>attenuated</w:t>
      </w:r>
      <w:r w:rsidR="00F22A24">
        <w:rPr>
          <w:rFonts w:ascii="Times" w:hAnsi="Times"/>
        </w:rPr>
        <w:t>.</w:t>
      </w:r>
      <w:r w:rsidR="002A0BAF" w:rsidRPr="002A0BAF">
        <w:rPr>
          <w:rFonts w:ascii="Times" w:hAnsi="Times"/>
        </w:rPr>
        <w:t xml:space="preserve"> </w:t>
      </w:r>
      <w:r w:rsidR="002A0BAF">
        <w:rPr>
          <w:rFonts w:ascii="Times" w:hAnsi="Times"/>
        </w:rPr>
        <w:t>We attempted to utilize</w:t>
      </w:r>
      <w:r w:rsidR="002A0BAF" w:rsidRPr="00E76BC6">
        <w:rPr>
          <w:rFonts w:ascii="Times" w:hAnsi="Times"/>
        </w:rPr>
        <w:t xml:space="preserve"> firefly luciferase</w:t>
      </w:r>
      <w:r w:rsidR="002A0BAF">
        <w:rPr>
          <w:rFonts w:ascii="Times" w:hAnsi="Times"/>
        </w:rPr>
        <w:t>;</w:t>
      </w:r>
      <w:r w:rsidR="002A0BAF" w:rsidRPr="00E76BC6">
        <w:rPr>
          <w:rFonts w:ascii="Times" w:hAnsi="Times"/>
        </w:rPr>
        <w:t xml:space="preserve"> </w:t>
      </w:r>
      <w:r w:rsidR="002A0BAF">
        <w:rPr>
          <w:rFonts w:ascii="Times" w:hAnsi="Times"/>
        </w:rPr>
        <w:t xml:space="preserve">however, we found that the thick mycobacterial cell wall restricted access of the substrate </w:t>
      </w:r>
      <w:proofErr w:type="spellStart"/>
      <w:r w:rsidR="002A0BAF">
        <w:rPr>
          <w:rFonts w:ascii="Times" w:hAnsi="Times"/>
        </w:rPr>
        <w:t>luciferin</w:t>
      </w:r>
      <w:proofErr w:type="spellEnd"/>
      <w:r w:rsidR="002A0BAF">
        <w:rPr>
          <w:rFonts w:ascii="Times" w:hAnsi="Times"/>
        </w:rPr>
        <w:t>, and thus bead-beating was required for use of this reporter</w:t>
      </w:r>
      <w:r w:rsidR="002A0BAF" w:rsidRPr="00E76BC6">
        <w:rPr>
          <w:rFonts w:ascii="Times" w:hAnsi="Times"/>
        </w:rPr>
        <w:t xml:space="preserve">.  </w:t>
      </w:r>
      <w:r w:rsidR="002A0BAF">
        <w:rPr>
          <w:rFonts w:ascii="Times" w:hAnsi="Times"/>
        </w:rPr>
        <w:t xml:space="preserve">As this was not adaptable to </w:t>
      </w:r>
      <w:r w:rsidR="004574EC">
        <w:rPr>
          <w:rFonts w:ascii="Times" w:hAnsi="Times"/>
        </w:rPr>
        <w:t>high-throughput screening</w:t>
      </w:r>
      <w:r w:rsidR="002A0BAF">
        <w:rPr>
          <w:rFonts w:ascii="Times" w:hAnsi="Times"/>
        </w:rPr>
        <w:t>,</w:t>
      </w:r>
      <w:r w:rsidR="002A0BAF" w:rsidRPr="00E76BC6">
        <w:rPr>
          <w:rFonts w:ascii="Times" w:hAnsi="Times"/>
        </w:rPr>
        <w:t xml:space="preserve"> we turned to testing of fluorescent reporters.  </w:t>
      </w:r>
      <w:r w:rsidR="00155606" w:rsidRPr="00E76BC6">
        <w:rPr>
          <w:rFonts w:ascii="Times" w:hAnsi="Times"/>
        </w:rPr>
        <w:t xml:space="preserve">Although we tested a panel of </w:t>
      </w:r>
      <w:r w:rsidR="00155606">
        <w:rPr>
          <w:rFonts w:ascii="Times" w:hAnsi="Times"/>
        </w:rPr>
        <w:t xml:space="preserve">mycobacterial </w:t>
      </w:r>
      <w:r w:rsidR="00155606" w:rsidRPr="00E76BC6">
        <w:rPr>
          <w:rFonts w:ascii="Times" w:hAnsi="Times"/>
        </w:rPr>
        <w:t>promoters for high-level expression of GFP</w:t>
      </w:r>
      <w:r w:rsidR="00155606">
        <w:rPr>
          <w:rFonts w:ascii="Times" w:hAnsi="Times"/>
        </w:rPr>
        <w:t xml:space="preserve"> in H37Rv</w:t>
      </w:r>
      <w:r w:rsidR="00155606" w:rsidRPr="00E76BC6">
        <w:rPr>
          <w:rFonts w:ascii="Times" w:hAnsi="Times"/>
        </w:rPr>
        <w:t xml:space="preserve">, we were unable to obtain a strain that provided enough sensitivity for detection using a plate reader.  </w:t>
      </w:r>
      <w:r w:rsidR="00E76BC6" w:rsidRPr="000B2F14">
        <w:rPr>
          <w:rFonts w:ascii="Times" w:hAnsi="Times"/>
        </w:rPr>
        <w:t>We therefore turned to microscopy, as this method provided sensitivity for detection of bacteria and the ability to simultaneously read out bacterial number and macrophage survival.</w:t>
      </w:r>
    </w:p>
    <w:p w14:paraId="693F124B" w14:textId="77777777" w:rsidR="00E76BC6" w:rsidRPr="000B2F14" w:rsidRDefault="00E76BC6" w:rsidP="00E76BC6">
      <w:pPr>
        <w:spacing w:line="360" w:lineRule="auto"/>
        <w:rPr>
          <w:rFonts w:ascii="Times" w:hAnsi="Times"/>
        </w:rPr>
      </w:pPr>
    </w:p>
    <w:p w14:paraId="33ADB5FE" w14:textId="058F0D51" w:rsidR="003C41EE" w:rsidRPr="000B2F14" w:rsidRDefault="00E76BC6" w:rsidP="00E76BC6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>We next sought to optimize image acquisition and analysis methods</w:t>
      </w:r>
      <w:r w:rsidR="00FF699E" w:rsidRPr="000B2F14">
        <w:rPr>
          <w:rFonts w:ascii="Times" w:hAnsi="Times"/>
        </w:rPr>
        <w:t xml:space="preserve"> using infection of J774 macrophages</w:t>
      </w:r>
      <w:r w:rsidRPr="000B2F14">
        <w:rPr>
          <w:rFonts w:ascii="Times" w:hAnsi="Times"/>
        </w:rPr>
        <w:t xml:space="preserve">.  Because intracellular mycobacteria grow in clumps rather than discrete, easily quantifiable spots, we sought image analysis software that would allow for determination of a more nuanced growth phenotype than bacterial count. The open-source software platform </w:t>
      </w:r>
      <w:proofErr w:type="spellStart"/>
      <w:r w:rsidRPr="000B2F14">
        <w:rPr>
          <w:rFonts w:ascii="Times" w:hAnsi="Times"/>
        </w:rPr>
        <w:t>CellProfiler</w:t>
      </w:r>
      <w:proofErr w:type="spellEnd"/>
      <w:r w:rsidRPr="000B2F14">
        <w:rPr>
          <w:rFonts w:ascii="Times" w:hAnsi="Times"/>
        </w:rPr>
        <w:t xml:space="preserve"> allowed simultaneous determination of multiple parameters from our images</w:t>
      </w:r>
      <w:r w:rsidR="003849A2" w:rsidRPr="000B2F14">
        <w:rPr>
          <w:rFonts w:ascii="Times" w:hAnsi="Times"/>
        </w:rPr>
        <w:t xml:space="preserve"> (see description of analysis pipeline below)</w:t>
      </w:r>
      <w:r w:rsidRPr="000B2F14">
        <w:rPr>
          <w:rFonts w:ascii="Times" w:hAnsi="Times"/>
        </w:rPr>
        <w:t xml:space="preserve">. </w:t>
      </w:r>
      <w:r w:rsidR="00FF699E" w:rsidRPr="000B2F14">
        <w:rPr>
          <w:rFonts w:ascii="Times" w:hAnsi="Times"/>
        </w:rPr>
        <w:t xml:space="preserve">These measured features include multiple measures of bacterial and nuclear size, </w:t>
      </w:r>
      <w:r w:rsidR="00263957" w:rsidRPr="000B2F14">
        <w:rPr>
          <w:rFonts w:ascii="Times" w:hAnsi="Times"/>
        </w:rPr>
        <w:t xml:space="preserve">the </w:t>
      </w:r>
      <w:r w:rsidR="00FF699E" w:rsidRPr="000B2F14">
        <w:rPr>
          <w:rFonts w:ascii="Times" w:hAnsi="Times"/>
        </w:rPr>
        <w:t>distance between the nucleus and mycobacteria, and various measures of the intensity and texture of each bacterial clump and each nucleus.  Using rifampicin treatment as a positive control, we found that</w:t>
      </w:r>
      <w:r w:rsidR="00263957" w:rsidRPr="000B2F14">
        <w:rPr>
          <w:rFonts w:ascii="Times" w:hAnsi="Times"/>
        </w:rPr>
        <w:t xml:space="preserve"> the</w:t>
      </w:r>
      <w:r w:rsidR="00FF699E" w:rsidRPr="000B2F14">
        <w:rPr>
          <w:rFonts w:ascii="Times" w:hAnsi="Times"/>
        </w:rPr>
        <w:t xml:space="preserve"> </w:t>
      </w:r>
      <w:r w:rsidR="00263957" w:rsidRPr="000B2F14">
        <w:rPr>
          <w:rFonts w:ascii="Times" w:hAnsi="Times"/>
        </w:rPr>
        <w:t xml:space="preserve">metric that best represented growth was the </w:t>
      </w:r>
      <w:r w:rsidRPr="000B2F14">
        <w:rPr>
          <w:rFonts w:ascii="Times" w:hAnsi="Times"/>
        </w:rPr>
        <w:t>GFP pixel intensity integrated across the field and normalized to macrophage number</w:t>
      </w:r>
      <w:r w:rsidR="00FF699E" w:rsidRPr="000B2F14">
        <w:rPr>
          <w:rFonts w:ascii="Times" w:hAnsi="Times"/>
        </w:rPr>
        <w:t>, giving Z</w:t>
      </w:r>
      <w:r w:rsidR="00263957" w:rsidRPr="000B2F14">
        <w:rPr>
          <w:rFonts w:ascii="Times" w:hAnsi="Times"/>
        </w:rPr>
        <w:t>’</w:t>
      </w:r>
      <w:r w:rsidR="00FF699E" w:rsidRPr="000B2F14">
        <w:rPr>
          <w:rFonts w:ascii="Times" w:hAnsi="Times"/>
        </w:rPr>
        <w:t xml:space="preserve">-factors of </w:t>
      </w:r>
      <w:r w:rsidR="00FD395E" w:rsidRPr="000B2F14">
        <w:rPr>
          <w:rFonts w:ascii="Times" w:hAnsi="Times"/>
        </w:rPr>
        <w:t>0.4-</w:t>
      </w:r>
      <w:r w:rsidR="00FF699E" w:rsidRPr="000B2F14">
        <w:rPr>
          <w:rFonts w:ascii="Times" w:hAnsi="Times"/>
        </w:rPr>
        <w:t>0.5 consistently</w:t>
      </w:r>
      <w:r w:rsidRPr="000B2F14">
        <w:rPr>
          <w:rFonts w:ascii="Times" w:hAnsi="Times"/>
        </w:rPr>
        <w:t xml:space="preserve">. </w:t>
      </w:r>
    </w:p>
    <w:p w14:paraId="2A2B9695" w14:textId="77777777" w:rsidR="00FF699E" w:rsidRPr="000B2F14" w:rsidRDefault="00FF699E" w:rsidP="00E76BC6">
      <w:pPr>
        <w:spacing w:line="360" w:lineRule="auto"/>
        <w:rPr>
          <w:rFonts w:ascii="Times" w:hAnsi="Times"/>
        </w:rPr>
      </w:pPr>
    </w:p>
    <w:p w14:paraId="653CACA4" w14:textId="4D3C9523" w:rsidR="00E76BC6" w:rsidRPr="000B2F14" w:rsidRDefault="00FF699E" w:rsidP="00E76BC6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>Although we used J774 cells to develop the image analysis pipeline, w</w:t>
      </w:r>
      <w:r w:rsidR="007938D3" w:rsidRPr="000B2F14">
        <w:rPr>
          <w:rFonts w:ascii="Times" w:hAnsi="Times"/>
        </w:rPr>
        <w:t xml:space="preserve">e </w:t>
      </w:r>
      <w:r w:rsidR="00E76BC6" w:rsidRPr="000B2F14">
        <w:rPr>
          <w:rFonts w:ascii="Times" w:hAnsi="Times"/>
        </w:rPr>
        <w:t xml:space="preserve">next </w:t>
      </w:r>
      <w:r w:rsidR="007938D3" w:rsidRPr="000B2F14">
        <w:rPr>
          <w:rFonts w:ascii="Times" w:hAnsi="Times"/>
        </w:rPr>
        <w:t xml:space="preserve">sought to establish </w:t>
      </w:r>
      <w:r w:rsidR="00E76BC6" w:rsidRPr="000B2F14">
        <w:rPr>
          <w:rFonts w:ascii="Times" w:hAnsi="Times"/>
        </w:rPr>
        <w:t>the optimal cell type for our screen.</w:t>
      </w:r>
      <w:r w:rsidR="007938D3" w:rsidRPr="000B2F14">
        <w:rPr>
          <w:rFonts w:ascii="Times" w:hAnsi="Times"/>
        </w:rPr>
        <w:t xml:space="preserve">  Growth of </w:t>
      </w:r>
      <w:r w:rsidR="007938D3" w:rsidRPr="000B2F14">
        <w:rPr>
          <w:rFonts w:ascii="Times" w:hAnsi="Times"/>
          <w:i/>
        </w:rPr>
        <w:t>M. tuberculosis</w:t>
      </w:r>
      <w:r w:rsidR="007938D3" w:rsidRPr="000B2F14">
        <w:rPr>
          <w:rFonts w:ascii="Times" w:hAnsi="Times"/>
        </w:rPr>
        <w:t xml:space="preserve"> constitutively expressing GFP (H37Rv-GFP) was monitored in various macrophage primary cells and cell lines</w:t>
      </w:r>
      <w:r w:rsidR="00E76BC6" w:rsidRPr="000B2F14">
        <w:rPr>
          <w:rFonts w:ascii="Times" w:hAnsi="Times"/>
        </w:rPr>
        <w:t xml:space="preserve"> including primary murine bone marrow derived macrophages, the mouse macrophage cell lines RAW and J774, and the human monocyte/macrophage cell line </w:t>
      </w:r>
      <w:r w:rsidR="00AD68E9">
        <w:rPr>
          <w:rFonts w:ascii="Times" w:hAnsi="Times"/>
        </w:rPr>
        <w:lastRenderedPageBreak/>
        <w:t>THP</w:t>
      </w:r>
      <w:r w:rsidR="00E76BC6" w:rsidRPr="000B2F14">
        <w:rPr>
          <w:rFonts w:ascii="Times" w:hAnsi="Times"/>
        </w:rPr>
        <w:t>-1</w:t>
      </w:r>
      <w:r w:rsidR="007938D3" w:rsidRPr="000B2F14">
        <w:rPr>
          <w:rFonts w:ascii="Times" w:hAnsi="Times"/>
        </w:rPr>
        <w:t xml:space="preserve">.  </w:t>
      </w:r>
      <w:r w:rsidR="00AD68E9">
        <w:rPr>
          <w:rFonts w:ascii="Times" w:hAnsi="Times"/>
        </w:rPr>
        <w:t>For THP</w:t>
      </w:r>
      <w:r w:rsidR="00E76BC6" w:rsidRPr="000B2F14">
        <w:rPr>
          <w:rFonts w:ascii="Times" w:hAnsi="Times"/>
        </w:rPr>
        <w:t>-1 cells</w:t>
      </w:r>
      <w:r w:rsidR="00263957" w:rsidRPr="000B2F14">
        <w:rPr>
          <w:rFonts w:ascii="Times" w:hAnsi="Times"/>
        </w:rPr>
        <w:t>,</w:t>
      </w:r>
      <w:r w:rsidR="00E76BC6" w:rsidRPr="000B2F14">
        <w:rPr>
          <w:rFonts w:ascii="Times" w:hAnsi="Times"/>
        </w:rPr>
        <w:t xml:space="preserve"> monocytes were plated into 96</w:t>
      </w:r>
      <w:r w:rsidR="009F7018" w:rsidRPr="000B2F14">
        <w:rPr>
          <w:rFonts w:ascii="Times" w:hAnsi="Times"/>
        </w:rPr>
        <w:t>-</w:t>
      </w:r>
      <w:r w:rsidR="00E76BC6" w:rsidRPr="000B2F14">
        <w:rPr>
          <w:rFonts w:ascii="Times" w:hAnsi="Times"/>
        </w:rPr>
        <w:t>well plates and stimulated with PMA to promote differentiation of monocytes</w:t>
      </w:r>
      <w:r w:rsidR="00574190" w:rsidRPr="000B2F14">
        <w:rPr>
          <w:rFonts w:ascii="Times" w:hAnsi="Times"/>
        </w:rPr>
        <w:t xml:space="preserve"> into macrophages</w:t>
      </w:r>
      <w:r w:rsidR="00E76BC6" w:rsidRPr="000B2F14">
        <w:rPr>
          <w:rFonts w:ascii="Times" w:hAnsi="Times"/>
        </w:rPr>
        <w:t>.  Multiple concentrations of PMA and stimulation time were tested.  For all other macrophages, the cells were plated into 96</w:t>
      </w:r>
      <w:r w:rsidR="009F7018" w:rsidRPr="000B2F14">
        <w:rPr>
          <w:rFonts w:ascii="Times" w:hAnsi="Times"/>
        </w:rPr>
        <w:t>-</w:t>
      </w:r>
      <w:r w:rsidR="00E76BC6" w:rsidRPr="000B2F14">
        <w:rPr>
          <w:rFonts w:ascii="Times" w:hAnsi="Times"/>
        </w:rPr>
        <w:t>well plates and allowed to adhere overnight.  The following day, m</w:t>
      </w:r>
      <w:r w:rsidR="007938D3" w:rsidRPr="000B2F14">
        <w:rPr>
          <w:rFonts w:ascii="Times" w:hAnsi="Times"/>
        </w:rPr>
        <w:t xml:space="preserve">acrophages were infected with H37Rv-GFP </w:t>
      </w:r>
      <w:r w:rsidR="007938D3" w:rsidRPr="000B2F14">
        <w:rPr>
          <w:rFonts w:ascii="Times" w:hAnsi="Times"/>
          <w:i/>
        </w:rPr>
        <w:t>M. tuberculosis</w:t>
      </w:r>
      <w:r w:rsidR="007938D3" w:rsidRPr="000B2F14">
        <w:rPr>
          <w:rFonts w:ascii="Times" w:hAnsi="Times"/>
        </w:rPr>
        <w:t>, and at various time</w:t>
      </w:r>
      <w:r w:rsidR="00BA6C38">
        <w:rPr>
          <w:rFonts w:ascii="Times" w:hAnsi="Times"/>
        </w:rPr>
        <w:t xml:space="preserve"> </w:t>
      </w:r>
      <w:r w:rsidR="007938D3" w:rsidRPr="000B2F14">
        <w:rPr>
          <w:rFonts w:ascii="Times" w:hAnsi="Times"/>
        </w:rPr>
        <w:t xml:space="preserve">points after infection the cells were fixed and stained with DAPI to allow for enumeration of macrophages.  </w:t>
      </w:r>
      <w:r w:rsidR="00AD68E9">
        <w:rPr>
          <w:rFonts w:ascii="Times" w:hAnsi="Times"/>
        </w:rPr>
        <w:t>THP</w:t>
      </w:r>
      <w:r w:rsidRPr="000B2F14">
        <w:rPr>
          <w:rFonts w:ascii="Times" w:hAnsi="Times"/>
        </w:rPr>
        <w:t xml:space="preserve">-1 cells allowed for robust growth of </w:t>
      </w:r>
      <w:r w:rsidRPr="000B2F14">
        <w:rPr>
          <w:rFonts w:ascii="Times" w:hAnsi="Times"/>
          <w:i/>
        </w:rPr>
        <w:t>M. tuberculosis</w:t>
      </w:r>
      <w:r w:rsidR="00263957" w:rsidRPr="000B2F14">
        <w:rPr>
          <w:rFonts w:ascii="Times" w:hAnsi="Times"/>
        </w:rPr>
        <w:t>;</w:t>
      </w:r>
      <w:r w:rsidRPr="000B2F14">
        <w:rPr>
          <w:rFonts w:ascii="Times" w:hAnsi="Times"/>
        </w:rPr>
        <w:t xml:space="preserve"> however</w:t>
      </w:r>
      <w:r w:rsidR="00263957" w:rsidRPr="000B2F14">
        <w:rPr>
          <w:rFonts w:ascii="Times" w:hAnsi="Times"/>
        </w:rPr>
        <w:t>,</w:t>
      </w:r>
      <w:r w:rsidRPr="000B2F14">
        <w:rPr>
          <w:rFonts w:ascii="Times" w:hAnsi="Times"/>
        </w:rPr>
        <w:t xml:space="preserve"> by three days after infection (required for optimal separation of positive and negative controls) there was a significant amount of </w:t>
      </w:r>
      <w:r w:rsidR="00574190" w:rsidRPr="000B2F14">
        <w:rPr>
          <w:rFonts w:ascii="Times" w:hAnsi="Times"/>
        </w:rPr>
        <w:t xml:space="preserve">macrophage </w:t>
      </w:r>
      <w:r w:rsidRPr="000B2F14">
        <w:rPr>
          <w:rFonts w:ascii="Times" w:hAnsi="Times"/>
        </w:rPr>
        <w:t>cell death.  Further, the degree of death observed was not consistent across experiments</w:t>
      </w:r>
      <w:r w:rsidR="00574190" w:rsidRPr="000B2F14">
        <w:rPr>
          <w:rFonts w:ascii="Times" w:hAnsi="Times"/>
        </w:rPr>
        <w:t>,</w:t>
      </w:r>
      <w:r w:rsidRPr="000B2F14">
        <w:rPr>
          <w:rFonts w:ascii="Times" w:hAnsi="Times"/>
        </w:rPr>
        <w:t xml:space="preserve"> which would complicate analysis of a screen carried out across multiple screening days.  RAW macrophages supported robust growth of </w:t>
      </w:r>
      <w:r w:rsidRPr="000B2F14">
        <w:rPr>
          <w:rFonts w:ascii="Times" w:hAnsi="Times"/>
          <w:i/>
        </w:rPr>
        <w:t>M. tuberculosis</w:t>
      </w:r>
      <w:r w:rsidRPr="000B2F14">
        <w:rPr>
          <w:rFonts w:ascii="Times" w:hAnsi="Times"/>
        </w:rPr>
        <w:t>,</w:t>
      </w:r>
      <w:r w:rsidR="00263957" w:rsidRPr="000B2F14">
        <w:rPr>
          <w:rFonts w:ascii="Times" w:hAnsi="Times"/>
        </w:rPr>
        <w:t xml:space="preserve"> but</w:t>
      </w:r>
      <w:r w:rsidRPr="000B2F14">
        <w:rPr>
          <w:rFonts w:ascii="Times" w:hAnsi="Times"/>
        </w:rPr>
        <w:t xml:space="preserve"> </w:t>
      </w:r>
      <w:r w:rsidR="00263957" w:rsidRPr="000B2F14">
        <w:rPr>
          <w:rFonts w:ascii="Times" w:hAnsi="Times"/>
        </w:rPr>
        <w:t>excessi</w:t>
      </w:r>
      <w:r w:rsidR="00122BB1">
        <w:rPr>
          <w:rFonts w:ascii="Times" w:hAnsi="Times"/>
        </w:rPr>
        <w:t>ve proliferation over the three-</w:t>
      </w:r>
      <w:r w:rsidR="00263957" w:rsidRPr="000B2F14">
        <w:rPr>
          <w:rFonts w:ascii="Times" w:hAnsi="Times"/>
        </w:rPr>
        <w:t xml:space="preserve">day growth period (even when seeded at low densities) </w:t>
      </w:r>
      <w:r w:rsidRPr="000B2F14">
        <w:rPr>
          <w:rFonts w:ascii="Times" w:hAnsi="Times"/>
        </w:rPr>
        <w:t>complicat</w:t>
      </w:r>
      <w:r w:rsidR="00263957" w:rsidRPr="000B2F14">
        <w:rPr>
          <w:rFonts w:ascii="Times" w:hAnsi="Times"/>
        </w:rPr>
        <w:t>ed</w:t>
      </w:r>
      <w:r w:rsidRPr="000B2F14">
        <w:rPr>
          <w:rFonts w:ascii="Times" w:hAnsi="Times"/>
        </w:rPr>
        <w:t xml:space="preserve"> our image analysis.  Bone-marrow macrophages did not support robust growth of </w:t>
      </w:r>
      <w:r w:rsidRPr="000B2F14">
        <w:rPr>
          <w:rFonts w:ascii="Times" w:hAnsi="Times"/>
          <w:i/>
        </w:rPr>
        <w:t>M. tuberculosis</w:t>
      </w:r>
      <w:r w:rsidR="00263957" w:rsidRPr="000B2F14">
        <w:rPr>
          <w:rFonts w:ascii="Times" w:hAnsi="Times"/>
        </w:rPr>
        <w:t>:</w:t>
      </w:r>
      <w:r w:rsidRPr="000B2F14">
        <w:rPr>
          <w:rFonts w:ascii="Times" w:hAnsi="Times"/>
        </w:rPr>
        <w:t xml:space="preserve"> even after one week of infection we found bacterial numbers ha</w:t>
      </w:r>
      <w:r w:rsidR="00BD1F46">
        <w:rPr>
          <w:rFonts w:ascii="Times" w:hAnsi="Times"/>
        </w:rPr>
        <w:t>d</w:t>
      </w:r>
      <w:r w:rsidRPr="000B2F14">
        <w:rPr>
          <w:rFonts w:ascii="Times" w:hAnsi="Times"/>
        </w:rPr>
        <w:t xml:space="preserve"> only increased by ~7x and we were unable to obtain Z</w:t>
      </w:r>
      <w:r w:rsidR="00263957" w:rsidRPr="000B2F14">
        <w:rPr>
          <w:rFonts w:ascii="Times" w:hAnsi="Times"/>
        </w:rPr>
        <w:t>’</w:t>
      </w:r>
      <w:r w:rsidRPr="000B2F14">
        <w:rPr>
          <w:rFonts w:ascii="Times" w:hAnsi="Times"/>
        </w:rPr>
        <w:t xml:space="preserve">- factors greater than 0 in these cells.  </w:t>
      </w:r>
      <w:r w:rsidR="00BD1F46">
        <w:rPr>
          <w:rFonts w:ascii="Times" w:hAnsi="Times"/>
        </w:rPr>
        <w:t>In contrast, we were able to obtain</w:t>
      </w:r>
      <w:r w:rsidRPr="000B2F14">
        <w:rPr>
          <w:rFonts w:ascii="Times" w:hAnsi="Times"/>
        </w:rPr>
        <w:t xml:space="preserve"> </w:t>
      </w:r>
      <w:r w:rsidR="00BD1F46">
        <w:rPr>
          <w:rFonts w:ascii="Times" w:hAnsi="Times"/>
        </w:rPr>
        <w:t xml:space="preserve">a </w:t>
      </w:r>
      <w:r w:rsidR="00BD1F46" w:rsidRPr="000B2F14">
        <w:rPr>
          <w:rFonts w:ascii="Times" w:hAnsi="Times"/>
        </w:rPr>
        <w:t>Z’</w:t>
      </w:r>
      <w:r w:rsidR="00BD1F46">
        <w:rPr>
          <w:rFonts w:ascii="Times" w:hAnsi="Times"/>
        </w:rPr>
        <w:t>-factor</w:t>
      </w:r>
      <w:r w:rsidR="00BD1F46" w:rsidRPr="000B2F14">
        <w:rPr>
          <w:rFonts w:ascii="Times" w:hAnsi="Times"/>
        </w:rPr>
        <w:t xml:space="preserve"> of 0.4-0.5</w:t>
      </w:r>
      <w:r w:rsidR="00BD1F46">
        <w:rPr>
          <w:rFonts w:ascii="Times" w:hAnsi="Times"/>
        </w:rPr>
        <w:t xml:space="preserve"> for</w:t>
      </w:r>
      <w:r w:rsidR="00BD1F46" w:rsidRPr="000B2F14">
        <w:rPr>
          <w:rFonts w:ascii="Times" w:hAnsi="Times"/>
        </w:rPr>
        <w:t xml:space="preserve"> </w:t>
      </w:r>
      <w:r w:rsidRPr="000B2F14">
        <w:rPr>
          <w:rFonts w:ascii="Times" w:hAnsi="Times"/>
        </w:rPr>
        <w:t xml:space="preserve">J774 macrophages </w:t>
      </w:r>
      <w:r w:rsidR="00BD1F46">
        <w:rPr>
          <w:rFonts w:ascii="Times" w:hAnsi="Times"/>
        </w:rPr>
        <w:t>in</w:t>
      </w:r>
      <w:r w:rsidR="00BD1F46" w:rsidRPr="000B2F14">
        <w:rPr>
          <w:rFonts w:ascii="Times" w:hAnsi="Times"/>
        </w:rPr>
        <w:t xml:space="preserve"> </w:t>
      </w:r>
      <w:r w:rsidRPr="000B2F14">
        <w:rPr>
          <w:rFonts w:ascii="Times" w:hAnsi="Times"/>
        </w:rPr>
        <w:t>our screening assay.</w:t>
      </w:r>
    </w:p>
    <w:p w14:paraId="63B7F99A" w14:textId="77777777" w:rsidR="00FF699E" w:rsidRPr="000B2F14" w:rsidRDefault="00FF699E" w:rsidP="00E76BC6">
      <w:pPr>
        <w:spacing w:line="360" w:lineRule="auto"/>
        <w:rPr>
          <w:rFonts w:ascii="Times" w:hAnsi="Times"/>
        </w:rPr>
      </w:pPr>
    </w:p>
    <w:p w14:paraId="23EF639C" w14:textId="0BA28746" w:rsidR="007938D3" w:rsidRPr="000B2F14" w:rsidRDefault="007938D3" w:rsidP="003B11F7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 xml:space="preserve">We next assessed the dynamics of growth of </w:t>
      </w:r>
      <w:r w:rsidRPr="000B2F14">
        <w:rPr>
          <w:rFonts w:ascii="Times" w:hAnsi="Times"/>
          <w:i/>
        </w:rPr>
        <w:t>M. tuberculosis</w:t>
      </w:r>
      <w:r w:rsidRPr="000B2F14">
        <w:rPr>
          <w:rFonts w:ascii="Times" w:hAnsi="Times"/>
        </w:rPr>
        <w:t xml:space="preserve"> in </w:t>
      </w:r>
      <w:r w:rsidR="00FF699E" w:rsidRPr="000B2F14">
        <w:rPr>
          <w:rFonts w:ascii="Times" w:hAnsi="Times"/>
        </w:rPr>
        <w:t>J774 macrophages</w:t>
      </w:r>
      <w:r w:rsidRPr="000B2F14">
        <w:rPr>
          <w:rFonts w:ascii="Times" w:hAnsi="Times"/>
        </w:rPr>
        <w:t xml:space="preserve"> by examining bacterial replication across </w:t>
      </w:r>
      <w:r w:rsidR="009F7018" w:rsidRPr="000B2F14">
        <w:rPr>
          <w:rFonts w:ascii="Times" w:hAnsi="Times"/>
        </w:rPr>
        <w:t xml:space="preserve">forty </w:t>
      </w:r>
      <w:r w:rsidRPr="000B2F14">
        <w:rPr>
          <w:rFonts w:ascii="Times" w:hAnsi="Times"/>
        </w:rPr>
        <w:t>96</w:t>
      </w:r>
      <w:r w:rsidR="009F7018" w:rsidRPr="000B2F14">
        <w:rPr>
          <w:rFonts w:ascii="Times" w:hAnsi="Times"/>
        </w:rPr>
        <w:t>-</w:t>
      </w:r>
      <w:r w:rsidRPr="000B2F14">
        <w:rPr>
          <w:rFonts w:ascii="Times" w:hAnsi="Times"/>
        </w:rPr>
        <w:t>well plates</w:t>
      </w:r>
      <w:r w:rsidR="00FF699E" w:rsidRPr="000B2F14">
        <w:rPr>
          <w:rFonts w:ascii="Times" w:hAnsi="Times"/>
        </w:rPr>
        <w:t xml:space="preserve"> using the drug rifampicin as a control</w:t>
      </w:r>
      <w:r w:rsidR="00FD395E" w:rsidRPr="000B2F14">
        <w:rPr>
          <w:rFonts w:ascii="Times" w:hAnsi="Times"/>
        </w:rPr>
        <w:t xml:space="preserve">.  </w:t>
      </w:r>
      <w:r w:rsidR="00574190" w:rsidRPr="000B2F14">
        <w:rPr>
          <w:rFonts w:ascii="Times" w:hAnsi="Times"/>
        </w:rPr>
        <w:t>In each of three replicates carried out on different days, w</w:t>
      </w:r>
      <w:r w:rsidR="00FD395E" w:rsidRPr="000B2F14">
        <w:rPr>
          <w:rFonts w:ascii="Times" w:hAnsi="Times"/>
        </w:rPr>
        <w:t>e scree</w:t>
      </w:r>
      <w:r w:rsidR="009F7018" w:rsidRPr="000B2F14">
        <w:rPr>
          <w:rFonts w:ascii="Times" w:hAnsi="Times"/>
        </w:rPr>
        <w:t>ned</w:t>
      </w:r>
      <w:r w:rsidR="00FD395E" w:rsidRPr="000B2F14">
        <w:rPr>
          <w:rFonts w:ascii="Times" w:hAnsi="Times"/>
        </w:rPr>
        <w:t xml:space="preserve"> 40 identical 96</w:t>
      </w:r>
      <w:r w:rsidR="009F7018" w:rsidRPr="000B2F14">
        <w:rPr>
          <w:rFonts w:ascii="Times" w:hAnsi="Times"/>
        </w:rPr>
        <w:t>-</w:t>
      </w:r>
      <w:r w:rsidR="00FD395E" w:rsidRPr="000B2F14">
        <w:rPr>
          <w:rFonts w:ascii="Times" w:hAnsi="Times"/>
        </w:rPr>
        <w:t xml:space="preserve">well plates, each of which contained </w:t>
      </w:r>
      <w:r w:rsidR="002E78EC" w:rsidRPr="000B2F14">
        <w:rPr>
          <w:rFonts w:ascii="Times" w:hAnsi="Times"/>
        </w:rPr>
        <w:t xml:space="preserve">DMSO control wells and </w:t>
      </w:r>
      <w:r w:rsidR="00FD395E" w:rsidRPr="000B2F14">
        <w:rPr>
          <w:rFonts w:ascii="Times" w:hAnsi="Times"/>
        </w:rPr>
        <w:t xml:space="preserve">a dose response of rifampicin. </w:t>
      </w:r>
      <w:r w:rsidR="009A3936">
        <w:rPr>
          <w:rFonts w:ascii="Times" w:hAnsi="Times"/>
        </w:rPr>
        <w:t xml:space="preserve"> </w:t>
      </w:r>
      <w:r w:rsidR="00BD1F46">
        <w:rPr>
          <w:rFonts w:ascii="Times" w:hAnsi="Times"/>
        </w:rPr>
        <w:t>We</w:t>
      </w:r>
      <w:r w:rsidR="00BD1F46" w:rsidRPr="000B2F14">
        <w:rPr>
          <w:rFonts w:ascii="Times" w:hAnsi="Times"/>
        </w:rPr>
        <w:t xml:space="preserve"> </w:t>
      </w:r>
      <w:r w:rsidRPr="000B2F14">
        <w:rPr>
          <w:rFonts w:ascii="Times" w:hAnsi="Times"/>
        </w:rPr>
        <w:t xml:space="preserve">found that bacterial growth did not </w:t>
      </w:r>
      <w:r w:rsidR="00FD395E" w:rsidRPr="000B2F14">
        <w:rPr>
          <w:rFonts w:ascii="Times" w:hAnsi="Times"/>
        </w:rPr>
        <w:t>follow a Gaussian distribution</w:t>
      </w:r>
      <w:r w:rsidR="003B11F7">
        <w:rPr>
          <w:rFonts w:ascii="Times" w:hAnsi="Times"/>
        </w:rPr>
        <w:t xml:space="preserve">.  </w:t>
      </w:r>
      <w:r w:rsidR="00FD395E" w:rsidRPr="000B2F14">
        <w:rPr>
          <w:rFonts w:ascii="Times" w:hAnsi="Times"/>
        </w:rPr>
        <w:t>We tested whether this was due to a technical aspect of the screen, considering the position of a well on a 96</w:t>
      </w:r>
      <w:r w:rsidR="009F7018" w:rsidRPr="000B2F14">
        <w:rPr>
          <w:rFonts w:ascii="Times" w:hAnsi="Times"/>
        </w:rPr>
        <w:t>-</w:t>
      </w:r>
      <w:r w:rsidR="00FD395E" w:rsidRPr="000B2F14">
        <w:rPr>
          <w:rFonts w:ascii="Times" w:hAnsi="Times"/>
        </w:rPr>
        <w:t>well plate (including edge effects), position of the plate in the incubator, infection time</w:t>
      </w:r>
      <w:r w:rsidR="002E78EC" w:rsidRPr="000B2F14">
        <w:rPr>
          <w:rFonts w:ascii="Times" w:hAnsi="Times"/>
        </w:rPr>
        <w:t>, order of reading plates,</w:t>
      </w:r>
      <w:r w:rsidR="00FD395E" w:rsidRPr="000B2F14">
        <w:rPr>
          <w:rFonts w:ascii="Times" w:hAnsi="Times"/>
        </w:rPr>
        <w:t xml:space="preserve"> and number of plates assayed simultaneously.  None of these technical factors contributed to the non-Gaussian nature of our data. </w:t>
      </w:r>
      <w:r w:rsidR="00263957" w:rsidRPr="000B2F14">
        <w:rPr>
          <w:rFonts w:ascii="Times" w:hAnsi="Times"/>
        </w:rPr>
        <w:t>W</w:t>
      </w:r>
      <w:r w:rsidR="00FD395E" w:rsidRPr="000B2F14">
        <w:rPr>
          <w:rFonts w:ascii="Times" w:hAnsi="Times"/>
        </w:rPr>
        <w:t xml:space="preserve">e </w:t>
      </w:r>
      <w:r w:rsidRPr="000B2F14">
        <w:rPr>
          <w:rFonts w:ascii="Times" w:hAnsi="Times"/>
        </w:rPr>
        <w:t xml:space="preserve">therefore relied on </w:t>
      </w:r>
      <w:r w:rsidR="0081658B">
        <w:rPr>
          <w:rFonts w:ascii="Times" w:hAnsi="Times"/>
        </w:rPr>
        <w:t>a Boots</w:t>
      </w:r>
      <w:r w:rsidR="009A3936">
        <w:rPr>
          <w:rFonts w:ascii="Times" w:hAnsi="Times"/>
        </w:rPr>
        <w:t xml:space="preserve">trap </w:t>
      </w:r>
      <w:r w:rsidR="008114AB">
        <w:rPr>
          <w:rFonts w:ascii="Times" w:hAnsi="Times"/>
        </w:rPr>
        <w:t>Monte Carlo</w:t>
      </w:r>
      <w:r w:rsidR="009A3936">
        <w:rPr>
          <w:rFonts w:ascii="Times" w:hAnsi="Times"/>
        </w:rPr>
        <w:t xml:space="preserve"> analysis, a </w:t>
      </w:r>
      <w:r w:rsidRPr="000B2F14">
        <w:rPr>
          <w:rFonts w:ascii="Times" w:hAnsi="Times"/>
        </w:rPr>
        <w:t>statistical methods</w:t>
      </w:r>
      <w:r w:rsidR="00C03A95">
        <w:rPr>
          <w:rFonts w:ascii="Times" w:hAnsi="Times"/>
        </w:rPr>
        <w:t xml:space="preserve"> </w:t>
      </w:r>
      <w:r w:rsidRPr="000B2F14">
        <w:rPr>
          <w:rFonts w:ascii="Times" w:hAnsi="Times"/>
        </w:rPr>
        <w:t>that do</w:t>
      </w:r>
      <w:r w:rsidR="009A3936">
        <w:rPr>
          <w:rFonts w:ascii="Times" w:hAnsi="Times"/>
        </w:rPr>
        <w:t>es</w:t>
      </w:r>
      <w:r w:rsidRPr="000B2F14">
        <w:rPr>
          <w:rFonts w:ascii="Times" w:hAnsi="Times"/>
        </w:rPr>
        <w:t xml:space="preserve"> not assume a normal distribution</w:t>
      </w:r>
      <w:r w:rsidR="009A3936">
        <w:rPr>
          <w:rFonts w:ascii="Times" w:hAnsi="Times"/>
        </w:rPr>
        <w:t>,</w:t>
      </w:r>
      <w:r w:rsidRPr="000B2F14">
        <w:rPr>
          <w:rFonts w:ascii="Times" w:hAnsi="Times"/>
        </w:rPr>
        <w:t xml:space="preserve"> for assay development.  </w:t>
      </w:r>
      <w:r w:rsidR="009A3936">
        <w:rPr>
          <w:rFonts w:ascii="Times" w:hAnsi="Times"/>
        </w:rPr>
        <w:t>U</w:t>
      </w:r>
      <w:r w:rsidRPr="000B2F14">
        <w:rPr>
          <w:rFonts w:ascii="Times" w:hAnsi="Times"/>
        </w:rPr>
        <w:t>sing a dose response of rifampicin to model varying degrees of growth inhibition, we demonstrated that the assay was able to distinguish even modest levels of growth inhibition</w:t>
      </w:r>
      <w:r w:rsidR="00C03A95">
        <w:rPr>
          <w:rFonts w:ascii="Times" w:hAnsi="Times"/>
        </w:rPr>
        <w:t xml:space="preserve"> </w:t>
      </w:r>
      <w:r w:rsidRPr="000B2F14">
        <w:rPr>
          <w:rFonts w:ascii="Times" w:hAnsi="Times"/>
        </w:rPr>
        <w:t>(Fig</w:t>
      </w:r>
      <w:r w:rsidR="00321294">
        <w:rPr>
          <w:rFonts w:ascii="Times" w:hAnsi="Times"/>
        </w:rPr>
        <w:t>ure</w:t>
      </w:r>
      <w:r w:rsidRPr="000B2F14">
        <w:rPr>
          <w:rFonts w:ascii="Times" w:hAnsi="Times"/>
        </w:rPr>
        <w:t xml:space="preserve"> </w:t>
      </w:r>
      <w:r w:rsidR="00FB1910">
        <w:rPr>
          <w:rFonts w:ascii="Times" w:hAnsi="Times"/>
        </w:rPr>
        <w:t xml:space="preserve">1, </w:t>
      </w:r>
      <w:r w:rsidR="00321294">
        <w:rPr>
          <w:rFonts w:ascii="Times" w:hAnsi="Times"/>
        </w:rPr>
        <w:t>Figure S1</w:t>
      </w:r>
      <w:r w:rsidRPr="000B2F14">
        <w:rPr>
          <w:rFonts w:ascii="Times" w:hAnsi="Times"/>
        </w:rPr>
        <w:t xml:space="preserve">).  </w:t>
      </w:r>
      <w:r w:rsidR="003C3F62">
        <w:rPr>
          <w:rFonts w:ascii="Times" w:hAnsi="Times"/>
        </w:rPr>
        <w:lastRenderedPageBreak/>
        <w:t>Using a Boots</w:t>
      </w:r>
      <w:r w:rsidRPr="000B2F14">
        <w:rPr>
          <w:rFonts w:ascii="Times" w:hAnsi="Times"/>
        </w:rPr>
        <w:t xml:space="preserve">trap </w:t>
      </w:r>
      <w:r w:rsidR="008114AB">
        <w:rPr>
          <w:rFonts w:ascii="Times" w:hAnsi="Times"/>
        </w:rPr>
        <w:t>Monte Carlo</w:t>
      </w:r>
      <w:r w:rsidRPr="000B2F14">
        <w:rPr>
          <w:rFonts w:ascii="Times" w:hAnsi="Times"/>
        </w:rPr>
        <w:t xml:space="preserve"> analysis, we were able to consistently distinguish 50% inhibition of growth with a predicted false negative rate of 0.2% at a false positive rate of 0.13%</w:t>
      </w:r>
      <w:r w:rsidR="002E78EC" w:rsidRPr="000B2F14">
        <w:rPr>
          <w:rFonts w:ascii="Times" w:hAnsi="Times"/>
        </w:rPr>
        <w:t>.  Further</w:t>
      </w:r>
      <w:r w:rsidR="00AB7203" w:rsidRPr="000B2F14">
        <w:rPr>
          <w:rFonts w:ascii="Times" w:hAnsi="Times"/>
        </w:rPr>
        <w:t>,</w:t>
      </w:r>
      <w:r w:rsidR="002E78EC" w:rsidRPr="000B2F14">
        <w:rPr>
          <w:rFonts w:ascii="Times" w:hAnsi="Times"/>
        </w:rPr>
        <w:t xml:space="preserve"> we rigorously tested variability using the coefficient of variance (standard deviation divided by the mean) for well</w:t>
      </w:r>
      <w:r w:rsidR="00263957" w:rsidRPr="000B2F14">
        <w:rPr>
          <w:rFonts w:ascii="Times" w:hAnsi="Times"/>
        </w:rPr>
        <w:t>-</w:t>
      </w:r>
      <w:r w:rsidR="002E78EC" w:rsidRPr="000B2F14">
        <w:rPr>
          <w:rFonts w:ascii="Times" w:hAnsi="Times"/>
        </w:rPr>
        <w:t>to</w:t>
      </w:r>
      <w:r w:rsidR="00263957" w:rsidRPr="000B2F14">
        <w:rPr>
          <w:rFonts w:ascii="Times" w:hAnsi="Times"/>
        </w:rPr>
        <w:t>-</w:t>
      </w:r>
      <w:r w:rsidR="002E78EC" w:rsidRPr="000B2F14">
        <w:rPr>
          <w:rFonts w:ascii="Times" w:hAnsi="Times"/>
        </w:rPr>
        <w:t>well variability (19%), plate</w:t>
      </w:r>
      <w:r w:rsidR="00263957" w:rsidRPr="000B2F14">
        <w:rPr>
          <w:rFonts w:ascii="Times" w:hAnsi="Times"/>
        </w:rPr>
        <w:t>-</w:t>
      </w:r>
      <w:r w:rsidR="002E78EC" w:rsidRPr="000B2F14">
        <w:rPr>
          <w:rFonts w:ascii="Times" w:hAnsi="Times"/>
        </w:rPr>
        <w:t>to</w:t>
      </w:r>
      <w:r w:rsidR="00263957" w:rsidRPr="000B2F14">
        <w:rPr>
          <w:rFonts w:ascii="Times" w:hAnsi="Times"/>
        </w:rPr>
        <w:t>-</w:t>
      </w:r>
      <w:r w:rsidR="002E78EC" w:rsidRPr="000B2F14">
        <w:rPr>
          <w:rFonts w:ascii="Times" w:hAnsi="Times"/>
        </w:rPr>
        <w:t>plate variability (9%), and day</w:t>
      </w:r>
      <w:r w:rsidR="00263957" w:rsidRPr="000B2F14">
        <w:rPr>
          <w:rFonts w:ascii="Times" w:hAnsi="Times"/>
        </w:rPr>
        <w:t>-</w:t>
      </w:r>
      <w:r w:rsidR="002E78EC" w:rsidRPr="000B2F14">
        <w:rPr>
          <w:rFonts w:ascii="Times" w:hAnsi="Times"/>
        </w:rPr>
        <w:t>to</w:t>
      </w:r>
      <w:r w:rsidR="00263957" w:rsidRPr="000B2F14">
        <w:rPr>
          <w:rFonts w:ascii="Times" w:hAnsi="Times"/>
        </w:rPr>
        <w:t>-</w:t>
      </w:r>
      <w:r w:rsidR="002E78EC" w:rsidRPr="000B2F14">
        <w:rPr>
          <w:rFonts w:ascii="Times" w:hAnsi="Times"/>
        </w:rPr>
        <w:t>day variability (15%) in the DMSO control wells.  Taken together</w:t>
      </w:r>
      <w:r w:rsidR="00263957" w:rsidRPr="000B2F14">
        <w:rPr>
          <w:rFonts w:ascii="Times" w:hAnsi="Times"/>
        </w:rPr>
        <w:t>,</w:t>
      </w:r>
      <w:r w:rsidR="002E78EC" w:rsidRPr="000B2F14">
        <w:rPr>
          <w:rFonts w:ascii="Times" w:hAnsi="Times"/>
        </w:rPr>
        <w:t xml:space="preserve"> this analysis demonstrates that the assay is robust for screening.</w:t>
      </w:r>
    </w:p>
    <w:p w14:paraId="31CD2945" w14:textId="77777777" w:rsidR="003849A2" w:rsidRPr="000B2F14" w:rsidRDefault="003849A2" w:rsidP="007938D3">
      <w:pPr>
        <w:spacing w:line="360" w:lineRule="auto"/>
        <w:ind w:firstLine="720"/>
        <w:rPr>
          <w:rFonts w:ascii="Times" w:hAnsi="Times"/>
        </w:rPr>
      </w:pPr>
    </w:p>
    <w:p w14:paraId="26B50E7D" w14:textId="50D51E11" w:rsidR="003849A2" w:rsidRPr="000B2F14" w:rsidRDefault="0081712D" w:rsidP="003849A2">
      <w:pPr>
        <w:spacing w:line="360" w:lineRule="auto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CellProfiler</w:t>
      </w:r>
      <w:proofErr w:type="spellEnd"/>
      <w:r>
        <w:rPr>
          <w:rFonts w:ascii="Times" w:hAnsi="Times"/>
          <w:b/>
        </w:rPr>
        <w:t xml:space="preserve"> analysis</w:t>
      </w:r>
    </w:p>
    <w:p w14:paraId="203C1D96" w14:textId="30A67848" w:rsidR="00540362" w:rsidRDefault="00C1633D" w:rsidP="003849A2">
      <w:pPr>
        <w:spacing w:line="360" w:lineRule="auto"/>
        <w:rPr>
          <w:rFonts w:ascii="Times" w:hAnsi="Times"/>
        </w:rPr>
      </w:pPr>
      <w:r w:rsidRPr="000B2F14">
        <w:rPr>
          <w:rFonts w:ascii="Times" w:hAnsi="Times"/>
        </w:rPr>
        <w:t xml:space="preserve">For image acquisition, we collected four sites per </w:t>
      </w:r>
      <w:r w:rsidR="003849A2" w:rsidRPr="000B2F14">
        <w:rPr>
          <w:rFonts w:ascii="Times" w:hAnsi="Times"/>
        </w:rPr>
        <w:t>well of the 96</w:t>
      </w:r>
      <w:r w:rsidR="009F7018" w:rsidRPr="000B2F14">
        <w:rPr>
          <w:rFonts w:ascii="Times" w:hAnsi="Times"/>
        </w:rPr>
        <w:t>-</w:t>
      </w:r>
      <w:r w:rsidR="003849A2" w:rsidRPr="000B2F14">
        <w:rPr>
          <w:rFonts w:ascii="Times" w:hAnsi="Times"/>
        </w:rPr>
        <w:t>well plate (average of ~7000 macrophages)</w:t>
      </w:r>
      <w:r w:rsidRPr="000B2F14">
        <w:rPr>
          <w:rFonts w:ascii="Times" w:hAnsi="Times"/>
        </w:rPr>
        <w:t xml:space="preserve"> using an </w:t>
      </w:r>
      <w:proofErr w:type="spellStart"/>
      <w:r w:rsidRPr="000B2F14">
        <w:rPr>
          <w:rFonts w:ascii="Times" w:hAnsi="Times"/>
        </w:rPr>
        <w:t>ImageXpress</w:t>
      </w:r>
      <w:proofErr w:type="spellEnd"/>
      <w:r w:rsidRPr="000B2F14">
        <w:rPr>
          <w:rFonts w:ascii="Times" w:hAnsi="Times"/>
        </w:rPr>
        <w:t xml:space="preserve"> automated microscope (Molecular Devices)</w:t>
      </w:r>
      <w:r w:rsidR="00FB1910">
        <w:rPr>
          <w:rFonts w:ascii="Times" w:hAnsi="Times"/>
        </w:rPr>
        <w:t xml:space="preserve"> with a 4x </w:t>
      </w:r>
      <w:r w:rsidR="009A3936">
        <w:rPr>
          <w:rFonts w:ascii="Times" w:hAnsi="Times"/>
        </w:rPr>
        <w:t>objective</w:t>
      </w:r>
      <w:r w:rsidR="003849A2" w:rsidRPr="000B2F14">
        <w:rPr>
          <w:rFonts w:ascii="Times" w:hAnsi="Times"/>
        </w:rPr>
        <w:t xml:space="preserve">. The image analysis </w:t>
      </w:r>
      <w:r w:rsidR="00095754" w:rsidRPr="000B2F14">
        <w:rPr>
          <w:rFonts w:ascii="Times" w:hAnsi="Times"/>
        </w:rPr>
        <w:t xml:space="preserve">workflow </w:t>
      </w:r>
      <w:r w:rsidR="003849A2" w:rsidRPr="000B2F14">
        <w:rPr>
          <w:rFonts w:ascii="Times" w:hAnsi="Times"/>
        </w:rPr>
        <w:t xml:space="preserve">we developed </w:t>
      </w:r>
      <w:r w:rsidR="00095754" w:rsidRPr="000B2F14">
        <w:rPr>
          <w:rFonts w:ascii="Times" w:hAnsi="Times"/>
        </w:rPr>
        <w:t xml:space="preserve">using </w:t>
      </w:r>
      <w:proofErr w:type="spellStart"/>
      <w:r w:rsidR="003849A2" w:rsidRPr="000B2F14">
        <w:rPr>
          <w:rFonts w:ascii="Times" w:hAnsi="Times"/>
        </w:rPr>
        <w:t>CellProfiler</w:t>
      </w:r>
      <w:proofErr w:type="spellEnd"/>
      <w:r w:rsidR="003849A2" w:rsidRPr="000B2F14">
        <w:rPr>
          <w:rFonts w:ascii="Times" w:hAnsi="Times"/>
        </w:rPr>
        <w:t xml:space="preserve"> begins </w:t>
      </w:r>
      <w:r w:rsidR="00095754" w:rsidRPr="000B2F14">
        <w:rPr>
          <w:rFonts w:ascii="Times" w:hAnsi="Times"/>
        </w:rPr>
        <w:t xml:space="preserve">with </w:t>
      </w:r>
      <w:r w:rsidR="004161DA" w:rsidRPr="000B2F14">
        <w:rPr>
          <w:rFonts w:ascii="Times" w:hAnsi="Times"/>
        </w:rPr>
        <w:t xml:space="preserve">running </w:t>
      </w:r>
      <w:r w:rsidR="00095754" w:rsidRPr="000B2F14">
        <w:rPr>
          <w:rFonts w:ascii="Times" w:hAnsi="Times"/>
        </w:rPr>
        <w:t xml:space="preserve">a pipeline </w:t>
      </w:r>
      <w:r w:rsidR="004161DA" w:rsidRPr="000B2F14">
        <w:rPr>
          <w:rFonts w:ascii="Times" w:hAnsi="Times"/>
        </w:rPr>
        <w:t>for</w:t>
      </w:r>
      <w:r w:rsidR="003849A2" w:rsidRPr="000B2F14">
        <w:rPr>
          <w:rFonts w:ascii="Times" w:hAnsi="Times"/>
        </w:rPr>
        <w:t xml:space="preserve"> correcting </w:t>
      </w:r>
      <w:r w:rsidR="004161DA" w:rsidRPr="000B2F14">
        <w:rPr>
          <w:rFonts w:ascii="Times" w:hAnsi="Times"/>
        </w:rPr>
        <w:t>fluorescent images</w:t>
      </w:r>
      <w:r w:rsidR="00235EE7" w:rsidRPr="000B2F14">
        <w:rPr>
          <w:rFonts w:ascii="Times" w:hAnsi="Times"/>
        </w:rPr>
        <w:t xml:space="preserve"> </w:t>
      </w:r>
      <w:r w:rsidR="003849A2" w:rsidRPr="000B2F14">
        <w:rPr>
          <w:rFonts w:ascii="Times" w:hAnsi="Times"/>
        </w:rPr>
        <w:t xml:space="preserve">for </w:t>
      </w:r>
      <w:r w:rsidR="00975F0C">
        <w:rPr>
          <w:rFonts w:ascii="Times" w:hAnsi="Times"/>
        </w:rPr>
        <w:t xml:space="preserve">spatial illumination </w:t>
      </w:r>
      <w:r w:rsidR="00235EE7" w:rsidRPr="000B2F14">
        <w:rPr>
          <w:rFonts w:ascii="Times" w:hAnsi="Times"/>
        </w:rPr>
        <w:t>heterogeneities introduced by the optical path in the microscope</w:t>
      </w:r>
      <w:r w:rsidR="003849A2" w:rsidRPr="000B2F14">
        <w:rPr>
          <w:rFonts w:ascii="Times" w:hAnsi="Times"/>
        </w:rPr>
        <w:t xml:space="preserve">. Because the amount of mycobacteria is proportional to the fluorescence intensity of GFP recorded in the image, this is a critically important step for accurate measurements of mycobacteria per macrophage. To obtain an accurate estimation of illumination anomalies, </w:t>
      </w:r>
      <w:r w:rsidR="004161DA" w:rsidRPr="000B2F14">
        <w:rPr>
          <w:rFonts w:ascii="Times" w:hAnsi="Times"/>
        </w:rPr>
        <w:t>this pipeline</w:t>
      </w:r>
      <w:r w:rsidR="002249D5" w:rsidRPr="000B2F14">
        <w:rPr>
          <w:rFonts w:ascii="Times" w:hAnsi="Times"/>
        </w:rPr>
        <w:t xml:space="preserve"> </w:t>
      </w:r>
      <w:r w:rsidR="002C5325" w:rsidRPr="000B2F14">
        <w:rPr>
          <w:rFonts w:ascii="Times" w:hAnsi="Times"/>
        </w:rPr>
        <w:t>create</w:t>
      </w:r>
      <w:r w:rsidR="004161DA" w:rsidRPr="000B2F14">
        <w:rPr>
          <w:rFonts w:ascii="Times" w:hAnsi="Times"/>
        </w:rPr>
        <w:t>s</w:t>
      </w:r>
      <w:r w:rsidR="002C5325" w:rsidRPr="000B2F14">
        <w:rPr>
          <w:rFonts w:ascii="Times" w:hAnsi="Times"/>
        </w:rPr>
        <w:t xml:space="preserve"> an illumination correction function, estimated as a smoothed per-channel average of the image intensities for a given </w:t>
      </w:r>
      <w:r w:rsidR="009A3936">
        <w:rPr>
          <w:rFonts w:ascii="Times" w:hAnsi="Times"/>
        </w:rPr>
        <w:t xml:space="preserve">set of </w:t>
      </w:r>
      <w:r w:rsidR="002C5325" w:rsidRPr="000B2F14">
        <w:rPr>
          <w:rFonts w:ascii="Times" w:hAnsi="Times"/>
        </w:rPr>
        <w:t>plate</w:t>
      </w:r>
      <w:r w:rsidR="009A3936">
        <w:rPr>
          <w:rFonts w:ascii="Times" w:hAnsi="Times"/>
        </w:rPr>
        <w:t>s imaged on the same day</w:t>
      </w:r>
      <w:r w:rsidR="00095754" w:rsidRPr="000B2F14">
        <w:rPr>
          <w:rFonts w:ascii="Times" w:hAnsi="Times"/>
        </w:rPr>
        <w:t xml:space="preserve">. A second </w:t>
      </w:r>
      <w:r w:rsidR="004161DA" w:rsidRPr="000B2F14">
        <w:rPr>
          <w:rFonts w:ascii="Times" w:hAnsi="Times"/>
        </w:rPr>
        <w:t xml:space="preserve">analysis </w:t>
      </w:r>
      <w:r w:rsidR="00095754" w:rsidRPr="000B2F14">
        <w:rPr>
          <w:rFonts w:ascii="Times" w:hAnsi="Times"/>
        </w:rPr>
        <w:t>pipeline then corrects</w:t>
      </w:r>
      <w:r w:rsidR="002C5325" w:rsidRPr="000B2F14">
        <w:rPr>
          <w:rFonts w:ascii="Times" w:hAnsi="Times"/>
        </w:rPr>
        <w:t xml:space="preserve"> each</w:t>
      </w:r>
      <w:r w:rsidR="004161DA" w:rsidRPr="000B2F14">
        <w:rPr>
          <w:rFonts w:ascii="Times" w:hAnsi="Times"/>
        </w:rPr>
        <w:t xml:space="preserve"> fluorescent image</w:t>
      </w:r>
      <w:r w:rsidR="002C5325" w:rsidRPr="000B2F14">
        <w:rPr>
          <w:rFonts w:ascii="Times" w:hAnsi="Times"/>
        </w:rPr>
        <w:t xml:space="preserve"> by per-pixel division </w:t>
      </w:r>
      <w:r w:rsidR="004161DA" w:rsidRPr="000B2F14">
        <w:rPr>
          <w:rFonts w:ascii="Times" w:hAnsi="Times"/>
        </w:rPr>
        <w:t>with</w:t>
      </w:r>
      <w:r w:rsidR="002C5325" w:rsidRPr="000B2F14">
        <w:rPr>
          <w:rFonts w:ascii="Times" w:hAnsi="Times"/>
        </w:rPr>
        <w:t xml:space="preserve"> the corresponding illumination correction functio</w:t>
      </w:r>
      <w:r w:rsidR="00540362">
        <w:rPr>
          <w:rFonts w:ascii="Times" w:hAnsi="Times"/>
        </w:rPr>
        <w:t>n</w:t>
      </w:r>
      <w:r w:rsidR="00540362" w:rsidRPr="003C2066">
        <w:rPr>
          <w:rFonts w:ascii="Times" w:hAnsi="Times"/>
          <w:vertAlign w:val="superscript"/>
        </w:rPr>
        <w:t>1</w:t>
      </w:r>
      <w:r w:rsidR="005B3B05">
        <w:rPr>
          <w:rFonts w:ascii="Times" w:hAnsi="Times"/>
        </w:rPr>
        <w:t>.</w:t>
      </w:r>
      <w:r w:rsidR="003849A2" w:rsidRPr="000B2F14">
        <w:rPr>
          <w:rFonts w:ascii="Times" w:hAnsi="Times"/>
        </w:rPr>
        <w:t xml:space="preserve"> After the images are corrected, the pipeline </w:t>
      </w:r>
      <w:r w:rsidR="002C5325" w:rsidRPr="000B2F14">
        <w:rPr>
          <w:rFonts w:ascii="Times" w:hAnsi="Times"/>
        </w:rPr>
        <w:t xml:space="preserve">then </w:t>
      </w:r>
      <w:r w:rsidR="003849A2" w:rsidRPr="000B2F14">
        <w:rPr>
          <w:rFonts w:ascii="Times" w:hAnsi="Times"/>
        </w:rPr>
        <w:t xml:space="preserve">identifies fluorescent debris in the images </w:t>
      </w:r>
      <w:r w:rsidR="00095754" w:rsidRPr="000B2F14">
        <w:rPr>
          <w:rFonts w:ascii="Times" w:hAnsi="Times"/>
        </w:rPr>
        <w:t>under the assumption that such artifacts are large</w:t>
      </w:r>
      <w:r w:rsidR="00676511">
        <w:rPr>
          <w:rFonts w:ascii="Times" w:hAnsi="Times"/>
        </w:rPr>
        <w:t>r</w:t>
      </w:r>
      <w:r w:rsidR="00095754" w:rsidRPr="000B2F14">
        <w:rPr>
          <w:rFonts w:ascii="Times" w:hAnsi="Times"/>
        </w:rPr>
        <w:t xml:space="preserve"> and bright</w:t>
      </w:r>
      <w:r w:rsidR="00676511">
        <w:rPr>
          <w:rFonts w:ascii="Times" w:hAnsi="Times"/>
        </w:rPr>
        <w:t>er</w:t>
      </w:r>
      <w:r w:rsidR="00095754" w:rsidRPr="000B2F14">
        <w:rPr>
          <w:rFonts w:ascii="Times" w:hAnsi="Times"/>
        </w:rPr>
        <w:t xml:space="preserve"> </w:t>
      </w:r>
      <w:r w:rsidR="00676511">
        <w:rPr>
          <w:rFonts w:ascii="Times" w:hAnsi="Times"/>
        </w:rPr>
        <w:t>than</w:t>
      </w:r>
      <w:r w:rsidR="00095754" w:rsidRPr="000B2F14">
        <w:rPr>
          <w:rFonts w:ascii="Times" w:hAnsi="Times"/>
        </w:rPr>
        <w:t xml:space="preserve"> the actual cells.</w:t>
      </w:r>
      <w:r w:rsidR="003849A2" w:rsidRPr="000B2F14">
        <w:rPr>
          <w:rFonts w:ascii="Times" w:hAnsi="Times"/>
        </w:rPr>
        <w:t xml:space="preserve">  </w:t>
      </w:r>
      <w:r w:rsidR="002C5325" w:rsidRPr="000B2F14">
        <w:rPr>
          <w:rFonts w:ascii="Times" w:hAnsi="Times"/>
        </w:rPr>
        <w:t xml:space="preserve">Regions </w:t>
      </w:r>
      <w:r w:rsidR="003849A2" w:rsidRPr="000B2F14">
        <w:rPr>
          <w:rFonts w:ascii="Times" w:hAnsi="Times"/>
        </w:rPr>
        <w:t xml:space="preserve">of the image containing debris are then </w:t>
      </w:r>
      <w:r w:rsidR="002C5325" w:rsidRPr="000B2F14">
        <w:rPr>
          <w:rFonts w:ascii="Times" w:hAnsi="Times"/>
        </w:rPr>
        <w:t>masked from</w:t>
      </w:r>
      <w:r w:rsidR="003849A2" w:rsidRPr="000B2F14">
        <w:rPr>
          <w:rFonts w:ascii="Times" w:hAnsi="Times"/>
        </w:rPr>
        <w:t xml:space="preserve"> the image </w:t>
      </w:r>
      <w:r w:rsidR="002C5325" w:rsidRPr="000B2F14">
        <w:rPr>
          <w:rFonts w:ascii="Times" w:hAnsi="Times"/>
        </w:rPr>
        <w:t xml:space="preserve">to exclude </w:t>
      </w:r>
      <w:r w:rsidR="004161DA" w:rsidRPr="000B2F14">
        <w:rPr>
          <w:rFonts w:ascii="Times" w:hAnsi="Times"/>
        </w:rPr>
        <w:t>these</w:t>
      </w:r>
      <w:r w:rsidR="002C5325" w:rsidRPr="000B2F14">
        <w:rPr>
          <w:rFonts w:ascii="Times" w:hAnsi="Times"/>
        </w:rPr>
        <w:t xml:space="preserve"> </w:t>
      </w:r>
      <w:r w:rsidR="004161DA" w:rsidRPr="000B2F14">
        <w:rPr>
          <w:rFonts w:ascii="Times" w:hAnsi="Times"/>
        </w:rPr>
        <w:t>features</w:t>
      </w:r>
      <w:r w:rsidR="002C5325" w:rsidRPr="000B2F14">
        <w:rPr>
          <w:rFonts w:ascii="Times" w:hAnsi="Times"/>
        </w:rPr>
        <w:t xml:space="preserve"> from consideration, allowing </w:t>
      </w:r>
      <w:r w:rsidR="003849A2" w:rsidRPr="000B2F14">
        <w:rPr>
          <w:rFonts w:ascii="Times" w:hAnsi="Times"/>
        </w:rPr>
        <w:t>for more accurate counting of both bacteria and macrophages.  Next, a focus score is calculated for each image, which allows us to exclude out</w:t>
      </w:r>
      <w:r w:rsidR="001C6972" w:rsidRPr="000B2F14">
        <w:rPr>
          <w:rFonts w:ascii="Times" w:hAnsi="Times"/>
        </w:rPr>
        <w:t>-</w:t>
      </w:r>
      <w:r w:rsidR="003849A2" w:rsidRPr="000B2F14">
        <w:rPr>
          <w:rFonts w:ascii="Times" w:hAnsi="Times"/>
        </w:rPr>
        <w:t>of</w:t>
      </w:r>
      <w:r w:rsidR="001C6972" w:rsidRPr="000B2F14">
        <w:rPr>
          <w:rFonts w:ascii="Times" w:hAnsi="Times"/>
        </w:rPr>
        <w:t>-</w:t>
      </w:r>
      <w:r w:rsidR="003849A2" w:rsidRPr="000B2F14">
        <w:rPr>
          <w:rFonts w:ascii="Times" w:hAnsi="Times"/>
        </w:rPr>
        <w:t xml:space="preserve">focus images from subsequent analysis.  </w:t>
      </w:r>
      <w:r w:rsidR="001C6972" w:rsidRPr="000B2F14">
        <w:rPr>
          <w:rFonts w:ascii="Times" w:hAnsi="Times"/>
        </w:rPr>
        <w:t xml:space="preserve">From </w:t>
      </w:r>
      <w:r w:rsidR="00095754" w:rsidRPr="000B2F14">
        <w:rPr>
          <w:rFonts w:ascii="Times" w:hAnsi="Times"/>
        </w:rPr>
        <w:t>the remaining</w:t>
      </w:r>
      <w:r w:rsidR="001C6972" w:rsidRPr="000B2F14">
        <w:rPr>
          <w:rFonts w:ascii="Times" w:hAnsi="Times"/>
        </w:rPr>
        <w:t xml:space="preserve"> corrected images, t</w:t>
      </w:r>
      <w:r w:rsidR="003849A2" w:rsidRPr="000B2F14">
        <w:rPr>
          <w:rFonts w:ascii="Times" w:hAnsi="Times"/>
        </w:rPr>
        <w:t xml:space="preserve">he pipeline </w:t>
      </w:r>
      <w:r w:rsidR="001C6972" w:rsidRPr="000B2F14">
        <w:rPr>
          <w:rFonts w:ascii="Times" w:hAnsi="Times"/>
        </w:rPr>
        <w:t>then</w:t>
      </w:r>
      <w:r w:rsidR="004161DA" w:rsidRPr="000B2F14">
        <w:rPr>
          <w:rFonts w:ascii="Times" w:hAnsi="Times"/>
        </w:rPr>
        <w:t xml:space="preserve"> identifies the nuclei using a three-step approach:</w:t>
      </w:r>
      <w:r w:rsidR="001C6972" w:rsidRPr="000B2F14">
        <w:rPr>
          <w:rFonts w:ascii="Times" w:hAnsi="Times"/>
        </w:rPr>
        <w:t xml:space="preserve"> </w:t>
      </w:r>
      <w:r w:rsidR="003849A2" w:rsidRPr="000B2F14">
        <w:rPr>
          <w:rFonts w:ascii="Times" w:hAnsi="Times"/>
        </w:rPr>
        <w:t xml:space="preserve">automatically </w:t>
      </w:r>
      <w:r w:rsidR="004161DA" w:rsidRPr="000B2F14">
        <w:rPr>
          <w:rFonts w:ascii="Times" w:hAnsi="Times"/>
        </w:rPr>
        <w:t xml:space="preserve">threshold </w:t>
      </w:r>
      <w:r w:rsidR="003849A2" w:rsidRPr="000B2F14">
        <w:rPr>
          <w:rFonts w:ascii="Times" w:hAnsi="Times"/>
        </w:rPr>
        <w:t>the</w:t>
      </w:r>
      <w:r w:rsidR="004161DA" w:rsidRPr="000B2F14">
        <w:rPr>
          <w:rFonts w:ascii="Times" w:hAnsi="Times"/>
        </w:rPr>
        <w:t xml:space="preserve"> </w:t>
      </w:r>
      <w:r w:rsidR="003849A2" w:rsidRPr="000B2F14">
        <w:rPr>
          <w:rFonts w:ascii="Times" w:hAnsi="Times"/>
        </w:rPr>
        <w:t>DNA-stain</w:t>
      </w:r>
      <w:r w:rsidR="00095754" w:rsidRPr="000B2F14">
        <w:rPr>
          <w:rFonts w:ascii="Times" w:hAnsi="Times"/>
        </w:rPr>
        <w:t>ed</w:t>
      </w:r>
      <w:r w:rsidR="003849A2" w:rsidRPr="000B2F14">
        <w:rPr>
          <w:rFonts w:ascii="Times" w:hAnsi="Times"/>
        </w:rPr>
        <w:t xml:space="preserve"> (DAPI) </w:t>
      </w:r>
      <w:r w:rsidR="004161DA" w:rsidRPr="000B2F14">
        <w:rPr>
          <w:rFonts w:ascii="Times" w:hAnsi="Times"/>
        </w:rPr>
        <w:t>foreground from the image background, determine the nuclei boundaries in the foreground regions and separate touching nuclei from their neighbors</w:t>
      </w:r>
      <w:r w:rsidR="003849A2" w:rsidRPr="000B2F14">
        <w:rPr>
          <w:rFonts w:ascii="Times" w:hAnsi="Times"/>
        </w:rPr>
        <w:t xml:space="preserve">.  The pipeline </w:t>
      </w:r>
      <w:r w:rsidR="004161DA" w:rsidRPr="000B2F14">
        <w:rPr>
          <w:rFonts w:ascii="Times" w:hAnsi="Times"/>
        </w:rPr>
        <w:t xml:space="preserve">then </w:t>
      </w:r>
      <w:r w:rsidR="003849A2" w:rsidRPr="000B2F14">
        <w:rPr>
          <w:rFonts w:ascii="Times" w:hAnsi="Times"/>
        </w:rPr>
        <w:t>identifies</w:t>
      </w:r>
      <w:r w:rsidR="004161DA" w:rsidRPr="000B2F14">
        <w:rPr>
          <w:rFonts w:ascii="Times" w:hAnsi="Times"/>
        </w:rPr>
        <w:t xml:space="preserve"> the</w:t>
      </w:r>
      <w:r w:rsidR="003849A2" w:rsidRPr="000B2F14">
        <w:rPr>
          <w:rFonts w:ascii="Times" w:hAnsi="Times"/>
        </w:rPr>
        <w:t xml:space="preserve"> mycobacteria in each GFP image</w:t>
      </w:r>
      <w:r w:rsidR="0011752F">
        <w:rPr>
          <w:rFonts w:ascii="Times" w:hAnsi="Times"/>
        </w:rPr>
        <w:t xml:space="preserve"> following a similar </w:t>
      </w:r>
      <w:r w:rsidR="004161DA" w:rsidRPr="000B2F14">
        <w:rPr>
          <w:rFonts w:ascii="Times" w:hAnsi="Times"/>
        </w:rPr>
        <w:t xml:space="preserve">three-step </w:t>
      </w:r>
      <w:r w:rsidR="0011752F">
        <w:rPr>
          <w:rFonts w:ascii="Times" w:hAnsi="Times"/>
        </w:rPr>
        <w:t>process except that</w:t>
      </w:r>
      <w:r w:rsidR="004161DA" w:rsidRPr="000B2F14">
        <w:rPr>
          <w:rFonts w:ascii="Times" w:hAnsi="Times"/>
        </w:rPr>
        <w:t xml:space="preserve"> the detection settings are optimized for the smaller mycobacteria</w:t>
      </w:r>
      <w:r w:rsidR="009A3936">
        <w:rPr>
          <w:rFonts w:ascii="Times" w:hAnsi="Times"/>
        </w:rPr>
        <w:t>l</w:t>
      </w:r>
      <w:r w:rsidR="004161DA" w:rsidRPr="000B2F14">
        <w:rPr>
          <w:rFonts w:ascii="Times" w:hAnsi="Times"/>
        </w:rPr>
        <w:t xml:space="preserve"> features</w:t>
      </w:r>
      <w:r w:rsidR="003849A2" w:rsidRPr="000B2F14">
        <w:rPr>
          <w:rFonts w:ascii="Times" w:hAnsi="Times"/>
        </w:rPr>
        <w:t xml:space="preserve">.  </w:t>
      </w:r>
      <w:r w:rsidR="003849A2" w:rsidRPr="000B2F14">
        <w:rPr>
          <w:rFonts w:ascii="Times" w:hAnsi="Times"/>
        </w:rPr>
        <w:lastRenderedPageBreak/>
        <w:t>For analysis of each set of images</w:t>
      </w:r>
      <w:r w:rsidR="004161DA" w:rsidRPr="000B2F14">
        <w:rPr>
          <w:rFonts w:ascii="Times" w:hAnsi="Times"/>
        </w:rPr>
        <w:t>,</w:t>
      </w:r>
      <w:r w:rsidR="003849A2" w:rsidRPr="000B2F14">
        <w:rPr>
          <w:rFonts w:ascii="Times" w:hAnsi="Times"/>
        </w:rPr>
        <w:t xml:space="preserve"> the parameters for defining nuclei and bacteria are run on a small </w:t>
      </w:r>
      <w:r w:rsidR="00646364" w:rsidRPr="000B2F14">
        <w:rPr>
          <w:rFonts w:ascii="Times" w:hAnsi="Times"/>
        </w:rPr>
        <w:t>sub</w:t>
      </w:r>
      <w:r w:rsidR="003849A2" w:rsidRPr="000B2F14">
        <w:rPr>
          <w:rFonts w:ascii="Times" w:hAnsi="Times"/>
        </w:rPr>
        <w:t xml:space="preserve">set of images and verified by eye to confirm accuracy before the entire set is </w:t>
      </w:r>
      <w:r w:rsidR="003849A2" w:rsidRPr="001F3281">
        <w:rPr>
          <w:rFonts w:ascii="Times" w:hAnsi="Times"/>
        </w:rPr>
        <w:t>run</w:t>
      </w:r>
      <w:r w:rsidR="00C44F13" w:rsidRPr="001F3281">
        <w:rPr>
          <w:rFonts w:ascii="Times" w:hAnsi="Times"/>
        </w:rPr>
        <w:t xml:space="preserve"> (see</w:t>
      </w:r>
      <w:r w:rsidR="00C44F13" w:rsidRPr="00094B55">
        <w:rPr>
          <w:rFonts w:ascii="Times" w:hAnsi="Times"/>
        </w:rPr>
        <w:t xml:space="preserve"> </w:t>
      </w:r>
      <w:r w:rsidR="002C5325" w:rsidRPr="00094B55">
        <w:rPr>
          <w:rFonts w:ascii="Times" w:hAnsi="Times"/>
        </w:rPr>
        <w:t>F</w:t>
      </w:r>
      <w:r w:rsidR="00C44F13" w:rsidRPr="00094B55">
        <w:rPr>
          <w:rFonts w:ascii="Times" w:hAnsi="Times"/>
        </w:rPr>
        <w:t xml:space="preserve">igure </w:t>
      </w:r>
      <w:r w:rsidR="00975F0C">
        <w:rPr>
          <w:rFonts w:ascii="Times" w:hAnsi="Times"/>
        </w:rPr>
        <w:t>S12</w:t>
      </w:r>
      <w:r w:rsidR="00C44F13" w:rsidRPr="00094B55">
        <w:rPr>
          <w:rFonts w:ascii="Times" w:hAnsi="Times"/>
        </w:rPr>
        <w:t>)</w:t>
      </w:r>
      <w:r w:rsidR="003849A2" w:rsidRPr="00094B55">
        <w:rPr>
          <w:rFonts w:ascii="Times" w:hAnsi="Times"/>
        </w:rPr>
        <w:t>.</w:t>
      </w:r>
      <w:r w:rsidR="003849A2" w:rsidRPr="000B2F14">
        <w:rPr>
          <w:rFonts w:ascii="Times" w:hAnsi="Times"/>
          <w:b/>
        </w:rPr>
        <w:t xml:space="preserve">  </w:t>
      </w:r>
      <w:r w:rsidR="003849A2" w:rsidRPr="000B2F14">
        <w:rPr>
          <w:rFonts w:ascii="Times" w:hAnsi="Times"/>
        </w:rPr>
        <w:t xml:space="preserve">The final step in the </w:t>
      </w:r>
      <w:r w:rsidR="00646364" w:rsidRPr="000B2F14">
        <w:rPr>
          <w:rFonts w:ascii="Times" w:hAnsi="Times"/>
        </w:rPr>
        <w:t xml:space="preserve">analysis </w:t>
      </w:r>
      <w:r w:rsidR="003849A2" w:rsidRPr="000B2F14">
        <w:rPr>
          <w:rFonts w:ascii="Times" w:hAnsi="Times"/>
        </w:rPr>
        <w:t xml:space="preserve">pipeline is to measure multiple features of the bacteria and nuclei in order to score the growth of </w:t>
      </w:r>
      <w:r w:rsidR="003849A2" w:rsidRPr="000B2F14">
        <w:rPr>
          <w:rFonts w:ascii="Times" w:hAnsi="Times"/>
          <w:i/>
        </w:rPr>
        <w:t>M.</w:t>
      </w:r>
      <w:r w:rsidR="00B01EED">
        <w:rPr>
          <w:rFonts w:ascii="Times" w:hAnsi="Times"/>
          <w:i/>
        </w:rPr>
        <w:t xml:space="preserve"> </w:t>
      </w:r>
      <w:bookmarkStart w:id="0" w:name="_GoBack"/>
      <w:bookmarkEnd w:id="0"/>
      <w:r w:rsidR="003849A2" w:rsidRPr="000B2F14">
        <w:rPr>
          <w:rFonts w:ascii="Times" w:hAnsi="Times"/>
          <w:i/>
        </w:rPr>
        <w:t>tuberculosis</w:t>
      </w:r>
      <w:r w:rsidR="003849A2" w:rsidRPr="000B2F14">
        <w:rPr>
          <w:rFonts w:ascii="Times" w:hAnsi="Times"/>
        </w:rPr>
        <w:t xml:space="preserve"> in macrophage cells. To assign hits, the </w:t>
      </w:r>
      <w:r w:rsidR="00646364" w:rsidRPr="000B2F14">
        <w:rPr>
          <w:rFonts w:ascii="Times" w:hAnsi="Times"/>
        </w:rPr>
        <w:t xml:space="preserve">GFP </w:t>
      </w:r>
      <w:r w:rsidR="003849A2" w:rsidRPr="000B2F14">
        <w:rPr>
          <w:rFonts w:ascii="Times" w:hAnsi="Times"/>
        </w:rPr>
        <w:t xml:space="preserve">intensity </w:t>
      </w:r>
      <w:r w:rsidR="00646364" w:rsidRPr="000B2F14">
        <w:rPr>
          <w:rFonts w:ascii="Times" w:hAnsi="Times"/>
        </w:rPr>
        <w:t xml:space="preserve">from the identified bacteria is integrated </w:t>
      </w:r>
      <w:r w:rsidR="003849A2" w:rsidRPr="000B2F14">
        <w:rPr>
          <w:rFonts w:ascii="Times" w:hAnsi="Times"/>
        </w:rPr>
        <w:t xml:space="preserve">across each image </w:t>
      </w:r>
      <w:r w:rsidR="00646364" w:rsidRPr="000B2F14">
        <w:rPr>
          <w:rFonts w:ascii="Times" w:hAnsi="Times"/>
        </w:rPr>
        <w:t xml:space="preserve">and is then </w:t>
      </w:r>
      <w:r w:rsidR="003849A2" w:rsidRPr="000B2F14">
        <w:rPr>
          <w:rFonts w:ascii="Times" w:hAnsi="Times"/>
        </w:rPr>
        <w:t xml:space="preserve">normalized to the number of </w:t>
      </w:r>
      <w:r w:rsidR="00EB4EF3">
        <w:rPr>
          <w:rFonts w:ascii="Times" w:hAnsi="Times"/>
        </w:rPr>
        <w:t xml:space="preserve">macrophage </w:t>
      </w:r>
      <w:r w:rsidR="003849A2" w:rsidRPr="000B2F14">
        <w:rPr>
          <w:rFonts w:ascii="Times" w:hAnsi="Times"/>
        </w:rPr>
        <w:t>nuclei counted in the image</w:t>
      </w:r>
      <w:r w:rsidR="00646364" w:rsidRPr="000B2F14">
        <w:rPr>
          <w:rFonts w:ascii="Times" w:hAnsi="Times"/>
        </w:rPr>
        <w:t xml:space="preserve"> to produce the final readout</w:t>
      </w:r>
      <w:r w:rsidR="003849A2" w:rsidRPr="000B2F14">
        <w:rPr>
          <w:rFonts w:ascii="Times" w:hAnsi="Times"/>
        </w:rPr>
        <w:t xml:space="preserve">. </w:t>
      </w:r>
      <w:r w:rsidR="000B2F14">
        <w:rPr>
          <w:rFonts w:ascii="Times" w:hAnsi="Times"/>
        </w:rPr>
        <w:t>Both of the pipelines</w:t>
      </w:r>
      <w:r w:rsidR="00EB4EF3">
        <w:rPr>
          <w:rFonts w:ascii="Times" w:hAnsi="Times"/>
        </w:rPr>
        <w:t xml:space="preserve"> used in the screen</w:t>
      </w:r>
      <w:r w:rsidR="000B2F14">
        <w:rPr>
          <w:rFonts w:ascii="Times" w:hAnsi="Times"/>
        </w:rPr>
        <w:t xml:space="preserve"> can be found </w:t>
      </w:r>
      <w:r w:rsidR="000B2F14" w:rsidRPr="000B2F14">
        <w:rPr>
          <w:rFonts w:ascii="Times" w:hAnsi="Times"/>
        </w:rPr>
        <w:t xml:space="preserve">at </w:t>
      </w:r>
      <w:hyperlink r:id="rId11" w:history="1">
        <w:r w:rsidR="000B2F14" w:rsidRPr="00EB45DD">
          <w:rPr>
            <w:rStyle w:val="Hyperlink"/>
            <w:rFonts w:ascii="Times" w:hAnsi="Times"/>
          </w:rPr>
          <w:t>http://cellprofiler.org/published_pipelines.html</w:t>
        </w:r>
      </w:hyperlink>
      <w:r w:rsidR="000B2F14" w:rsidRPr="00EB45DD">
        <w:rPr>
          <w:rFonts w:ascii="Times" w:hAnsi="Times"/>
        </w:rPr>
        <w:t>.</w:t>
      </w:r>
    </w:p>
    <w:p w14:paraId="3D47D384" w14:textId="77777777" w:rsidR="00540362" w:rsidRDefault="00540362" w:rsidP="003849A2">
      <w:pPr>
        <w:spacing w:line="360" w:lineRule="auto"/>
        <w:rPr>
          <w:rFonts w:ascii="Times" w:hAnsi="Times"/>
        </w:rPr>
      </w:pPr>
    </w:p>
    <w:p w14:paraId="12AAB2B0" w14:textId="3995CC1A" w:rsidR="00964112" w:rsidRPr="00BF08D2" w:rsidRDefault="00964112" w:rsidP="003849A2">
      <w:pPr>
        <w:spacing w:line="360" w:lineRule="auto"/>
        <w:rPr>
          <w:rFonts w:ascii="Times" w:hAnsi="Times"/>
          <w:b/>
        </w:rPr>
      </w:pPr>
      <w:r w:rsidRPr="00BF08D2">
        <w:rPr>
          <w:rFonts w:ascii="Times" w:hAnsi="Times"/>
          <w:b/>
        </w:rPr>
        <w:t>EGFR PCR</w:t>
      </w:r>
    </w:p>
    <w:p w14:paraId="581BAFCF" w14:textId="44ACBCC2" w:rsidR="00540AAD" w:rsidRPr="00BF08D2" w:rsidRDefault="00964112" w:rsidP="005B3B05">
      <w:pPr>
        <w:spacing w:line="360" w:lineRule="auto"/>
        <w:rPr>
          <w:rFonts w:ascii="Cambria" w:eastAsia="Times New Roman" w:hAnsi="Cambria" w:cs="Arial"/>
          <w:color w:val="000000"/>
          <w:sz w:val="23"/>
          <w:szCs w:val="23"/>
        </w:rPr>
      </w:pPr>
      <w:r>
        <w:rPr>
          <w:rFonts w:ascii="Times" w:hAnsi="Times"/>
        </w:rPr>
        <w:t xml:space="preserve">RNA was extracted from J774 macrophages using the </w:t>
      </w:r>
      <w:proofErr w:type="spellStart"/>
      <w:r>
        <w:rPr>
          <w:rFonts w:ascii="Times" w:hAnsi="Times"/>
        </w:rPr>
        <w:t>RNeasy</w:t>
      </w:r>
      <w:proofErr w:type="spellEnd"/>
      <w:r>
        <w:rPr>
          <w:rFonts w:ascii="Times" w:hAnsi="Times"/>
        </w:rPr>
        <w:t xml:space="preserve"> kit (</w:t>
      </w:r>
      <w:proofErr w:type="spellStart"/>
      <w:r>
        <w:rPr>
          <w:rFonts w:ascii="Times" w:hAnsi="Times"/>
        </w:rPr>
        <w:t>Qiagen</w:t>
      </w:r>
      <w:proofErr w:type="spellEnd"/>
      <w:r>
        <w:rPr>
          <w:rFonts w:ascii="Times" w:hAnsi="Times"/>
        </w:rPr>
        <w:t xml:space="preserve">) and </w:t>
      </w:r>
      <w:proofErr w:type="spellStart"/>
      <w:r>
        <w:rPr>
          <w:rFonts w:ascii="Times" w:hAnsi="Times"/>
        </w:rPr>
        <w:t>Qiashredder</w:t>
      </w:r>
      <w:proofErr w:type="spellEnd"/>
      <w:r>
        <w:rPr>
          <w:rFonts w:ascii="Times" w:hAnsi="Times"/>
        </w:rPr>
        <w:t xml:space="preserve"> columns (</w:t>
      </w:r>
      <w:proofErr w:type="spellStart"/>
      <w:r>
        <w:rPr>
          <w:rFonts w:ascii="Times" w:hAnsi="Times"/>
        </w:rPr>
        <w:t>Qiagen</w:t>
      </w:r>
      <w:proofErr w:type="spellEnd"/>
      <w:r>
        <w:rPr>
          <w:rFonts w:ascii="Times" w:hAnsi="Times"/>
        </w:rPr>
        <w:t>).  1</w:t>
      </w:r>
      <w:r>
        <w:rPr>
          <w:rFonts w:ascii="Times" w:hAnsi="Times"/>
        </w:rPr>
        <w:sym w:font="Symbol" w:char="F06D"/>
      </w:r>
      <w:r>
        <w:rPr>
          <w:rFonts w:ascii="Times" w:hAnsi="Times"/>
        </w:rPr>
        <w:t xml:space="preserve">g of RNA was used to synthesize </w:t>
      </w:r>
      <w:proofErr w:type="spellStart"/>
      <w:r>
        <w:rPr>
          <w:rFonts w:ascii="Times" w:hAnsi="Times"/>
        </w:rPr>
        <w:t>cDNA</w:t>
      </w:r>
      <w:proofErr w:type="spellEnd"/>
      <w:r>
        <w:rPr>
          <w:rFonts w:ascii="Times" w:hAnsi="Times"/>
        </w:rPr>
        <w:t xml:space="preserve"> using the </w:t>
      </w:r>
      <w:proofErr w:type="spellStart"/>
      <w:r>
        <w:rPr>
          <w:rFonts w:ascii="Times" w:hAnsi="Times"/>
        </w:rPr>
        <w:t>SuperScript</w:t>
      </w:r>
      <w:proofErr w:type="spellEnd"/>
      <w:r>
        <w:rPr>
          <w:rFonts w:ascii="Times" w:hAnsi="Times"/>
        </w:rPr>
        <w:t xml:space="preserve"> III kit (Invitrogen).  A control sample with water in place of reverse transcriptase (RT) was made simultaneously.  5</w:t>
      </w:r>
      <w:r>
        <w:rPr>
          <w:rFonts w:ascii="Times" w:hAnsi="Times"/>
        </w:rPr>
        <w:sym w:font="Symbol" w:char="F06D"/>
      </w:r>
      <w:r>
        <w:rPr>
          <w:rFonts w:ascii="Times" w:hAnsi="Times"/>
        </w:rPr>
        <w:t xml:space="preserve">l of </w:t>
      </w:r>
      <w:proofErr w:type="spellStart"/>
      <w:r>
        <w:rPr>
          <w:rFonts w:ascii="Times" w:hAnsi="Times"/>
        </w:rPr>
        <w:t>cDNA</w:t>
      </w:r>
      <w:proofErr w:type="spellEnd"/>
      <w:r>
        <w:rPr>
          <w:rFonts w:ascii="Times" w:hAnsi="Times"/>
        </w:rPr>
        <w:t xml:space="preserve"> made in the presence or absence of RT was used as template for a PCR reaction run with KOD </w:t>
      </w:r>
      <w:proofErr w:type="spellStart"/>
      <w:r>
        <w:rPr>
          <w:rFonts w:ascii="Times" w:hAnsi="Times"/>
        </w:rPr>
        <w:t>Xtreme</w:t>
      </w:r>
      <w:proofErr w:type="spellEnd"/>
      <w:r>
        <w:rPr>
          <w:rFonts w:ascii="Times" w:hAnsi="Times"/>
        </w:rPr>
        <w:t xml:space="preserve"> polymerase (Millipore)</w:t>
      </w:r>
      <w:r w:rsidR="009D5364">
        <w:rPr>
          <w:rFonts w:ascii="Times" w:hAnsi="Times"/>
        </w:rPr>
        <w:t xml:space="preserve"> with the following primer sequences designed to cross a splice junction in EGFR RNA. </w:t>
      </w:r>
      <w:r w:rsidR="009D5364" w:rsidRPr="0060631D">
        <w:rPr>
          <w:rFonts w:ascii="Cambria" w:hAnsi="Cambria"/>
        </w:rPr>
        <w:t xml:space="preserve">F primer: </w:t>
      </w:r>
      <w:proofErr w:type="gramStart"/>
      <w:r w:rsidR="009D5364" w:rsidRPr="0060631D">
        <w:rPr>
          <w:rFonts w:ascii="Cambria" w:eastAsia="Times New Roman" w:hAnsi="Cambria" w:cs="Arial"/>
          <w:color w:val="000000"/>
          <w:sz w:val="23"/>
          <w:szCs w:val="23"/>
        </w:rPr>
        <w:t>AACTGGACTGACCTCCATGC</w:t>
      </w:r>
      <w:r w:rsidR="009D5364">
        <w:rPr>
          <w:rFonts w:ascii="Cambria" w:eastAsia="Times New Roman" w:hAnsi="Cambria" w:cs="Arial"/>
          <w:color w:val="000000"/>
          <w:sz w:val="23"/>
          <w:szCs w:val="23"/>
        </w:rPr>
        <w:t xml:space="preserve">  </w:t>
      </w:r>
      <w:r w:rsidR="009D5364" w:rsidRPr="0060631D">
        <w:rPr>
          <w:rFonts w:ascii="Cambria" w:eastAsia="Times New Roman" w:hAnsi="Cambria" w:cs="Arial"/>
          <w:color w:val="000000"/>
          <w:sz w:val="23"/>
          <w:szCs w:val="23"/>
        </w:rPr>
        <w:t>R</w:t>
      </w:r>
      <w:proofErr w:type="gramEnd"/>
      <w:r w:rsidR="009D5364" w:rsidRPr="0060631D">
        <w:rPr>
          <w:rFonts w:ascii="Cambria" w:eastAsia="Times New Roman" w:hAnsi="Cambria" w:cs="Arial"/>
          <w:color w:val="000000"/>
          <w:sz w:val="23"/>
          <w:szCs w:val="23"/>
        </w:rPr>
        <w:t xml:space="preserve"> primer: CGCCAAAGAAAACTGACCAT</w:t>
      </w:r>
      <w:r>
        <w:rPr>
          <w:rFonts w:ascii="Times" w:hAnsi="Times"/>
        </w:rPr>
        <w:t>.  The reactions were run for 15, 25, or 35 cycles.  A band appeared in the</w:t>
      </w:r>
      <w:r w:rsidR="009D5364">
        <w:rPr>
          <w:rFonts w:ascii="Times" w:hAnsi="Times"/>
        </w:rPr>
        <w:t xml:space="preserve"> +RT lane after 25 and 35 cycles when 15</w:t>
      </w:r>
      <w:r w:rsidR="009D5364">
        <w:rPr>
          <w:rFonts w:ascii="Times" w:hAnsi="Times"/>
        </w:rPr>
        <w:sym w:font="Symbol" w:char="F06D"/>
      </w:r>
      <w:r w:rsidR="009D5364">
        <w:rPr>
          <w:rFonts w:ascii="Times" w:hAnsi="Times"/>
        </w:rPr>
        <w:t xml:space="preserve">l was run out on a 2% </w:t>
      </w:r>
      <w:proofErr w:type="spellStart"/>
      <w:r w:rsidR="009D5364">
        <w:rPr>
          <w:rFonts w:ascii="Times" w:hAnsi="Times"/>
        </w:rPr>
        <w:t>agarose</w:t>
      </w:r>
      <w:proofErr w:type="spellEnd"/>
      <w:r w:rsidR="009D5364">
        <w:rPr>
          <w:rFonts w:ascii="Times" w:hAnsi="Times"/>
        </w:rPr>
        <w:t xml:space="preserve"> gel.  Shown are the results for 35 cycles; for comparison 20</w:t>
      </w:r>
      <w:r w:rsidR="009D5364">
        <w:rPr>
          <w:rFonts w:ascii="Times" w:hAnsi="Times"/>
        </w:rPr>
        <w:sym w:font="Symbol" w:char="F06D"/>
      </w:r>
      <w:r w:rsidR="009D5364">
        <w:rPr>
          <w:rFonts w:ascii="Times" w:hAnsi="Times"/>
        </w:rPr>
        <w:t>l of 50bp ladder (NEB) was run simultaneously.</w:t>
      </w:r>
    </w:p>
    <w:p w14:paraId="078A487F" w14:textId="77777777" w:rsidR="00540362" w:rsidRDefault="00540362" w:rsidP="003849A2">
      <w:pPr>
        <w:spacing w:line="360" w:lineRule="auto"/>
        <w:rPr>
          <w:rFonts w:ascii="Times" w:hAnsi="Times"/>
        </w:rPr>
      </w:pPr>
    </w:p>
    <w:p w14:paraId="5F0BE5EF" w14:textId="6CB37FDF" w:rsidR="00540362" w:rsidRPr="00540362" w:rsidRDefault="00540362" w:rsidP="003849A2">
      <w:pPr>
        <w:spacing w:line="360" w:lineRule="auto"/>
        <w:rPr>
          <w:rFonts w:ascii="Times" w:hAnsi="Times"/>
          <w:b/>
        </w:rPr>
      </w:pPr>
      <w:r w:rsidRPr="00EB45DD">
        <w:rPr>
          <w:rFonts w:ascii="Times" w:hAnsi="Times"/>
          <w:b/>
        </w:rPr>
        <w:t>Supplementary Reference</w:t>
      </w:r>
    </w:p>
    <w:p w14:paraId="78D83930" w14:textId="62171823" w:rsidR="00540362" w:rsidRPr="00EB45DD" w:rsidRDefault="00540362" w:rsidP="00540362">
      <w:pPr>
        <w:pStyle w:val="CommentText"/>
        <w:rPr>
          <w:sz w:val="24"/>
          <w:szCs w:val="24"/>
        </w:rPr>
      </w:pPr>
      <w:r w:rsidRPr="00EB45DD">
        <w:rPr>
          <w:rFonts w:ascii="Times" w:hAnsi="Times"/>
          <w:sz w:val="24"/>
          <w:szCs w:val="24"/>
        </w:rPr>
        <w:t xml:space="preserve">1.  </w:t>
      </w:r>
      <w:r w:rsidRPr="00EB45DD">
        <w:rPr>
          <w:sz w:val="24"/>
          <w:szCs w:val="24"/>
        </w:rPr>
        <w:t xml:space="preserve">Jones TR, Carpenter AE, Sabatini DM, </w:t>
      </w:r>
      <w:proofErr w:type="spellStart"/>
      <w:r w:rsidRPr="00EB45DD">
        <w:rPr>
          <w:sz w:val="24"/>
          <w:szCs w:val="24"/>
        </w:rPr>
        <w:t>Golland</w:t>
      </w:r>
      <w:proofErr w:type="spellEnd"/>
      <w:r w:rsidRPr="00EB45DD">
        <w:rPr>
          <w:sz w:val="24"/>
          <w:szCs w:val="24"/>
        </w:rPr>
        <w:t xml:space="preserve"> P: Methods for high-content, high-throughput image-based cell screening.  In </w:t>
      </w:r>
      <w:r w:rsidRPr="00EB45DD">
        <w:rPr>
          <w:i/>
          <w:sz w:val="24"/>
          <w:szCs w:val="24"/>
        </w:rPr>
        <w:t>Proceedings of the Workshop on Microscopic Image Analysis with Applications in Biology held in association with MICCAI06 (Medical Image Computing and Computer-Assisted Intervention)</w:t>
      </w:r>
      <w:r w:rsidRPr="00EB45DD">
        <w:rPr>
          <w:sz w:val="24"/>
          <w:szCs w:val="24"/>
        </w:rPr>
        <w:t xml:space="preserve"> held in Copenhagen, Denmark, October 5, 2006 Edited by Metaxas DN, Whitaker RT, </w:t>
      </w:r>
      <w:proofErr w:type="spellStart"/>
      <w:r w:rsidRPr="00EB45DD">
        <w:rPr>
          <w:sz w:val="24"/>
          <w:szCs w:val="24"/>
        </w:rPr>
        <w:t>Rittcher</w:t>
      </w:r>
      <w:proofErr w:type="spellEnd"/>
      <w:r w:rsidRPr="00EB45DD">
        <w:rPr>
          <w:sz w:val="24"/>
          <w:szCs w:val="24"/>
        </w:rPr>
        <w:t xml:space="preserve"> J, Sebastian T</w:t>
      </w:r>
      <w:proofErr w:type="gramStart"/>
      <w:r w:rsidRPr="00EB45DD">
        <w:rPr>
          <w:sz w:val="24"/>
          <w:szCs w:val="24"/>
        </w:rPr>
        <w:t>. :65</w:t>
      </w:r>
      <w:proofErr w:type="gramEnd"/>
      <w:r w:rsidRPr="00EB45DD">
        <w:rPr>
          <w:sz w:val="24"/>
          <w:szCs w:val="24"/>
        </w:rPr>
        <w:t>-72.</w:t>
      </w:r>
    </w:p>
    <w:p w14:paraId="3888E50F" w14:textId="77777777" w:rsidR="00E951A3" w:rsidRPr="000B2F14" w:rsidRDefault="00E951A3" w:rsidP="00FB1910">
      <w:pPr>
        <w:spacing w:line="360" w:lineRule="auto"/>
        <w:rPr>
          <w:rFonts w:ascii="Times" w:hAnsi="Times"/>
        </w:rPr>
      </w:pPr>
    </w:p>
    <w:sectPr w:rsidR="00E951A3" w:rsidRPr="000B2F14" w:rsidSect="00200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D3"/>
    <w:rsid w:val="00011E50"/>
    <w:rsid w:val="00072C6B"/>
    <w:rsid w:val="00094B55"/>
    <w:rsid w:val="00095754"/>
    <w:rsid w:val="000B2F14"/>
    <w:rsid w:val="000E35D3"/>
    <w:rsid w:val="0011752F"/>
    <w:rsid w:val="00122BB1"/>
    <w:rsid w:val="001348A2"/>
    <w:rsid w:val="0013719A"/>
    <w:rsid w:val="00137FDB"/>
    <w:rsid w:val="00155606"/>
    <w:rsid w:val="00161666"/>
    <w:rsid w:val="001C6972"/>
    <w:rsid w:val="001F03FF"/>
    <w:rsid w:val="001F3281"/>
    <w:rsid w:val="001F73D7"/>
    <w:rsid w:val="00200E65"/>
    <w:rsid w:val="0020448F"/>
    <w:rsid w:val="00210C92"/>
    <w:rsid w:val="00213CED"/>
    <w:rsid w:val="002249D5"/>
    <w:rsid w:val="00235EE7"/>
    <w:rsid w:val="00262C7A"/>
    <w:rsid w:val="00263957"/>
    <w:rsid w:val="00265D53"/>
    <w:rsid w:val="00282598"/>
    <w:rsid w:val="002A0BAF"/>
    <w:rsid w:val="002C5325"/>
    <w:rsid w:val="002D125D"/>
    <w:rsid w:val="002E78EC"/>
    <w:rsid w:val="00321294"/>
    <w:rsid w:val="00330DBC"/>
    <w:rsid w:val="0037266D"/>
    <w:rsid w:val="003751AF"/>
    <w:rsid w:val="003849A2"/>
    <w:rsid w:val="003B11F7"/>
    <w:rsid w:val="003B2F41"/>
    <w:rsid w:val="003C2066"/>
    <w:rsid w:val="003C3F62"/>
    <w:rsid w:val="003C41EE"/>
    <w:rsid w:val="003D27B8"/>
    <w:rsid w:val="00404C31"/>
    <w:rsid w:val="004161DA"/>
    <w:rsid w:val="004574EC"/>
    <w:rsid w:val="00460AD6"/>
    <w:rsid w:val="004732CC"/>
    <w:rsid w:val="0049346A"/>
    <w:rsid w:val="004B2EF0"/>
    <w:rsid w:val="004E235A"/>
    <w:rsid w:val="005035ED"/>
    <w:rsid w:val="005223E1"/>
    <w:rsid w:val="005375EF"/>
    <w:rsid w:val="00540362"/>
    <w:rsid w:val="00540AAD"/>
    <w:rsid w:val="00570E1E"/>
    <w:rsid w:val="00574190"/>
    <w:rsid w:val="005B3B05"/>
    <w:rsid w:val="00641D4A"/>
    <w:rsid w:val="00645E9D"/>
    <w:rsid w:val="00646364"/>
    <w:rsid w:val="00676511"/>
    <w:rsid w:val="006D10D6"/>
    <w:rsid w:val="006D2D66"/>
    <w:rsid w:val="00716806"/>
    <w:rsid w:val="007248DA"/>
    <w:rsid w:val="007938D3"/>
    <w:rsid w:val="00794341"/>
    <w:rsid w:val="007D4AD2"/>
    <w:rsid w:val="007E2167"/>
    <w:rsid w:val="008114AB"/>
    <w:rsid w:val="00815BF5"/>
    <w:rsid w:val="0081658B"/>
    <w:rsid w:val="0081712D"/>
    <w:rsid w:val="008F1B79"/>
    <w:rsid w:val="00945B14"/>
    <w:rsid w:val="00963DAC"/>
    <w:rsid w:val="00964112"/>
    <w:rsid w:val="00975D2C"/>
    <w:rsid w:val="00975F0C"/>
    <w:rsid w:val="009A3936"/>
    <w:rsid w:val="009D5364"/>
    <w:rsid w:val="009E6BF3"/>
    <w:rsid w:val="009F7018"/>
    <w:rsid w:val="00A27E5B"/>
    <w:rsid w:val="00AB7203"/>
    <w:rsid w:val="00AC2697"/>
    <w:rsid w:val="00AD68E9"/>
    <w:rsid w:val="00AE71F0"/>
    <w:rsid w:val="00B01EED"/>
    <w:rsid w:val="00B0369B"/>
    <w:rsid w:val="00B125B8"/>
    <w:rsid w:val="00B22C0D"/>
    <w:rsid w:val="00BA6C38"/>
    <w:rsid w:val="00BA7058"/>
    <w:rsid w:val="00BD1F46"/>
    <w:rsid w:val="00BE0A63"/>
    <w:rsid w:val="00BE5F89"/>
    <w:rsid w:val="00BF08D2"/>
    <w:rsid w:val="00C03A95"/>
    <w:rsid w:val="00C1633D"/>
    <w:rsid w:val="00C44F13"/>
    <w:rsid w:val="00C81745"/>
    <w:rsid w:val="00CB7675"/>
    <w:rsid w:val="00CE5351"/>
    <w:rsid w:val="00CF6E4E"/>
    <w:rsid w:val="00CF7331"/>
    <w:rsid w:val="00DD50C7"/>
    <w:rsid w:val="00DD5324"/>
    <w:rsid w:val="00DE267E"/>
    <w:rsid w:val="00DF66D5"/>
    <w:rsid w:val="00E2403E"/>
    <w:rsid w:val="00E67F5D"/>
    <w:rsid w:val="00E76BC6"/>
    <w:rsid w:val="00E951A3"/>
    <w:rsid w:val="00EB45DD"/>
    <w:rsid w:val="00EB45E9"/>
    <w:rsid w:val="00EB4EF3"/>
    <w:rsid w:val="00EF4376"/>
    <w:rsid w:val="00EF613F"/>
    <w:rsid w:val="00F21186"/>
    <w:rsid w:val="00F22A24"/>
    <w:rsid w:val="00F76705"/>
    <w:rsid w:val="00F871DD"/>
    <w:rsid w:val="00F959BB"/>
    <w:rsid w:val="00F95F2A"/>
    <w:rsid w:val="00FA1013"/>
    <w:rsid w:val="00FB1910"/>
    <w:rsid w:val="00FB65CD"/>
    <w:rsid w:val="00FD395E"/>
    <w:rsid w:val="00FD5E88"/>
    <w:rsid w:val="00FE48E1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166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A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EE7"/>
  </w:style>
  <w:style w:type="character" w:styleId="Hyperlink">
    <w:name w:val="Hyperlink"/>
    <w:basedOn w:val="DefaultParagraphFont"/>
    <w:uiPriority w:val="99"/>
    <w:semiHidden/>
    <w:unhideWhenUsed/>
    <w:rsid w:val="000B2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A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5EE7"/>
  </w:style>
  <w:style w:type="character" w:styleId="Hyperlink">
    <w:name w:val="Hyperlink"/>
    <w:basedOn w:val="DefaultParagraphFont"/>
    <w:uiPriority w:val="99"/>
    <w:semiHidden/>
    <w:unhideWhenUsed/>
    <w:rsid w:val="000B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ellprofiler.org/published_pipelines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46A69-4B0E-6045-94EA-5AD79B20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1830</Words>
  <Characters>10435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Broad Institute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Stanley</dc:creator>
  <cp:lastModifiedBy>Admnistrator</cp:lastModifiedBy>
  <cp:revision>13</cp:revision>
  <dcterms:created xsi:type="dcterms:W3CDTF">2014-01-16T16:16:00Z</dcterms:created>
  <dcterms:modified xsi:type="dcterms:W3CDTF">2014-01-18T01:52:00Z</dcterms:modified>
</cp:coreProperties>
</file>