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394"/>
      </w:tblGrid>
      <w:tr w:rsidR="00887806" w:rsidRPr="00681EED">
        <w:tc>
          <w:tcPr>
            <w:tcW w:w="2952" w:type="dxa"/>
            <w:tcBorders>
              <w:bottom w:val="single" w:sz="18" w:space="0" w:color="000000"/>
            </w:tcBorders>
            <w:vAlign w:val="center"/>
          </w:tcPr>
          <w:p w:rsidR="00887806" w:rsidRPr="00B12238" w:rsidRDefault="00887806" w:rsidP="00887806">
            <w:pPr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Mtb</w:t>
            </w:r>
            <w:proofErr w:type="spellEnd"/>
            <w:r w:rsidRPr="00B12238">
              <w:rPr>
                <w:rFonts w:ascii="Times New Roman" w:hAnsi="Times New Roman"/>
              </w:rPr>
              <w:t xml:space="preserve"> ORF (DB)</w:t>
            </w:r>
          </w:p>
        </w:tc>
        <w:tc>
          <w:tcPr>
            <w:tcW w:w="2952" w:type="dxa"/>
            <w:tcBorders>
              <w:bottom w:val="single" w:sz="18" w:space="0" w:color="000000"/>
            </w:tcBorders>
            <w:vAlign w:val="center"/>
          </w:tcPr>
          <w:p w:rsidR="00887806" w:rsidRPr="00B12238" w:rsidRDefault="00887806" w:rsidP="00887806">
            <w:pPr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Mtb</w:t>
            </w:r>
            <w:proofErr w:type="spellEnd"/>
            <w:r w:rsidRPr="00B12238">
              <w:rPr>
                <w:rFonts w:ascii="Times New Roman" w:hAnsi="Times New Roman"/>
              </w:rPr>
              <w:t xml:space="preserve"> ORF (AD)</w:t>
            </w:r>
          </w:p>
        </w:tc>
        <w:tc>
          <w:tcPr>
            <w:tcW w:w="2394" w:type="dxa"/>
            <w:tcBorders>
              <w:bottom w:val="single" w:sz="18" w:space="0" w:color="000000"/>
            </w:tcBorders>
            <w:vAlign w:val="center"/>
          </w:tcPr>
          <w:p w:rsidR="00887806" w:rsidRPr="00B12238" w:rsidRDefault="00887806" w:rsidP="00887806">
            <w:pPr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Number of times identified</w:t>
            </w:r>
          </w:p>
        </w:tc>
      </w:tr>
      <w:tr w:rsidR="00887806" w:rsidRPr="00681EED">
        <w:tc>
          <w:tcPr>
            <w:tcW w:w="2952" w:type="dxa"/>
            <w:tcBorders>
              <w:top w:val="single" w:sz="18" w:space="0" w:color="000000"/>
            </w:tcBorders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Rv0831 (s)#</w:t>
            </w:r>
          </w:p>
        </w:tc>
        <w:tc>
          <w:tcPr>
            <w:tcW w:w="2952" w:type="dxa"/>
            <w:tcBorders>
              <w:top w:val="single" w:sz="18" w:space="0" w:color="000000"/>
            </w:tcBorders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Rv0831 (s)</w:t>
            </w:r>
          </w:p>
        </w:tc>
        <w:tc>
          <w:tcPr>
            <w:tcW w:w="2394" w:type="dxa"/>
            <w:tcBorders>
              <w:top w:val="single" w:sz="18" w:space="0" w:color="000000"/>
            </w:tcBorders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BfrB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BfrB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2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SseA</w:t>
            </w:r>
            <w:proofErr w:type="spellEnd"/>
            <w:r w:rsidRPr="00B12238">
              <w:rPr>
                <w:rFonts w:ascii="Times New Roman" w:hAnsi="Times New Roman"/>
              </w:rPr>
              <w:t xml:space="preserve"> (ns)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SseA</w:t>
            </w:r>
            <w:proofErr w:type="spellEnd"/>
            <w:r w:rsidRPr="00B12238">
              <w:rPr>
                <w:rFonts w:ascii="Times New Roman" w:hAnsi="Times New Roman"/>
              </w:rPr>
              <w:t xml:space="preserve"> (ns)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PhoY2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PhoY2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Rv3406 (ns)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Rv3406 (ns)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Rv1531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Rv1531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Rv1636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Rv3531c (ns)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EsxS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EsxH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EsxR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EsxG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2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EsxW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EsxO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5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EsxP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EsxO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3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EsxW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EsxN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EsxA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EsxB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  <w:tr w:rsidR="00887806" w:rsidRPr="00681EED"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EsxW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952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238">
              <w:rPr>
                <w:rFonts w:ascii="Times New Roman" w:hAnsi="Times New Roman"/>
              </w:rPr>
              <w:t>EsxL</w:t>
            </w:r>
            <w:proofErr w:type="spellEnd"/>
            <w:r w:rsidRPr="00B12238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394" w:type="dxa"/>
            <w:vAlign w:val="center"/>
          </w:tcPr>
          <w:p w:rsidR="00887806" w:rsidRPr="00B12238" w:rsidRDefault="00887806" w:rsidP="00887806">
            <w:pPr>
              <w:jc w:val="both"/>
              <w:rPr>
                <w:rFonts w:ascii="Times New Roman" w:hAnsi="Times New Roman"/>
              </w:rPr>
            </w:pPr>
            <w:r w:rsidRPr="00B12238">
              <w:rPr>
                <w:rFonts w:ascii="Times New Roman" w:hAnsi="Times New Roman"/>
              </w:rPr>
              <w:t>1</w:t>
            </w:r>
          </w:p>
        </w:tc>
      </w:tr>
    </w:tbl>
    <w:p w:rsidR="00887806" w:rsidRDefault="001807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</w:t>
      </w:r>
      <w:r w:rsidR="009058B6">
        <w:rPr>
          <w:rFonts w:ascii="Times New Roman" w:hAnsi="Times New Roman"/>
          <w:b/>
        </w:rPr>
        <w:t>1</w:t>
      </w:r>
      <w:r w:rsidR="00887806" w:rsidRPr="00887806">
        <w:rPr>
          <w:rFonts w:ascii="Times New Roman" w:hAnsi="Times New Roman"/>
          <w:b/>
        </w:rPr>
        <w:t>. Interactions Id</w:t>
      </w:r>
      <w:bookmarkStart w:id="0" w:name="_GoBack"/>
      <w:bookmarkEnd w:id="0"/>
      <w:r w:rsidR="00887806" w:rsidRPr="00887806">
        <w:rPr>
          <w:rFonts w:ascii="Times New Roman" w:hAnsi="Times New Roman"/>
          <w:b/>
        </w:rPr>
        <w:t xml:space="preserve">entified Between </w:t>
      </w:r>
      <w:proofErr w:type="spellStart"/>
      <w:r w:rsidR="00887806" w:rsidRPr="00887806">
        <w:rPr>
          <w:rFonts w:ascii="Times New Roman" w:hAnsi="Times New Roman"/>
          <w:b/>
        </w:rPr>
        <w:t>Mtb</w:t>
      </w:r>
      <w:proofErr w:type="spellEnd"/>
      <w:r w:rsidR="00887806" w:rsidRPr="00887806">
        <w:rPr>
          <w:rFonts w:ascii="Times New Roman" w:hAnsi="Times New Roman"/>
          <w:b/>
        </w:rPr>
        <w:t xml:space="preserve"> Proteins.</w:t>
      </w: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887806" w:rsidRPr="00887806" w:rsidRDefault="00887806" w:rsidP="00887806">
      <w:pPr>
        <w:rPr>
          <w:rFonts w:ascii="Times New Roman" w:hAnsi="Times New Roman"/>
        </w:rPr>
      </w:pPr>
    </w:p>
    <w:p w:rsidR="00B12238" w:rsidRDefault="00B12238" w:rsidP="00887806">
      <w:pPr>
        <w:rPr>
          <w:rFonts w:ascii="Times New Roman" w:hAnsi="Times New Roman"/>
        </w:rPr>
      </w:pPr>
    </w:p>
    <w:p w:rsidR="00AF2C9D" w:rsidRPr="00887806" w:rsidRDefault="00887806" w:rsidP="008878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# </w:t>
      </w:r>
      <w:proofErr w:type="gramStart"/>
      <w:r>
        <w:rPr>
          <w:rFonts w:ascii="Times New Roman" w:hAnsi="Times New Roman"/>
        </w:rPr>
        <w:t>letter</w:t>
      </w:r>
      <w:proofErr w:type="gramEnd"/>
      <w:r>
        <w:rPr>
          <w:rFonts w:ascii="Times New Roman" w:hAnsi="Times New Roman"/>
        </w:rPr>
        <w:t xml:space="preserve"> in parenthesis indicates whether protein is predicted to be secreted (s) or not (ns). The table shows those </w:t>
      </w:r>
      <w:proofErr w:type="spellStart"/>
      <w:r>
        <w:rPr>
          <w:rFonts w:ascii="Times New Roman" w:hAnsi="Times New Roman"/>
        </w:rPr>
        <w:t>Mtb</w:t>
      </w:r>
      <w:proofErr w:type="spellEnd"/>
      <w:r>
        <w:rPr>
          <w:rFonts w:ascii="Times New Roman" w:hAnsi="Times New Roman"/>
        </w:rPr>
        <w:t xml:space="preserve"> ORFs that interacted in the Y2H when expressed as DB and AD fusions. The number of times an interaction was identified is indicated.</w:t>
      </w:r>
    </w:p>
    <w:sectPr w:rsidR="00AF2C9D" w:rsidRPr="00887806" w:rsidSect="008D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1" w:rsidRDefault="00DB3221" w:rsidP="00887806">
      <w:r>
        <w:separator/>
      </w:r>
    </w:p>
  </w:endnote>
  <w:endnote w:type="continuationSeparator" w:id="0">
    <w:p w:rsidR="00DB3221" w:rsidRDefault="00DB3221" w:rsidP="008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1" w:rsidRDefault="00DB3221" w:rsidP="00887806">
      <w:r>
        <w:separator/>
      </w:r>
    </w:p>
  </w:footnote>
  <w:footnote w:type="continuationSeparator" w:id="0">
    <w:p w:rsidR="00DB3221" w:rsidRDefault="00DB3221" w:rsidP="0088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06"/>
    <w:rsid w:val="00180702"/>
    <w:rsid w:val="002F13A3"/>
    <w:rsid w:val="00887806"/>
    <w:rsid w:val="008D28A4"/>
    <w:rsid w:val="009058B6"/>
    <w:rsid w:val="00AF2C9D"/>
    <w:rsid w:val="00B12238"/>
    <w:rsid w:val="00C17B18"/>
    <w:rsid w:val="00D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0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0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0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0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2013-03-01T14:59:00Z</cp:lastPrinted>
  <dcterms:created xsi:type="dcterms:W3CDTF">2013-03-01T19:14:00Z</dcterms:created>
  <dcterms:modified xsi:type="dcterms:W3CDTF">2013-03-04T20:53:00Z</dcterms:modified>
</cp:coreProperties>
</file>