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2F" w:rsidRPr="00771D70" w:rsidRDefault="008A162F" w:rsidP="008A162F">
      <w:pPr>
        <w:keepNext/>
        <w:keepLines/>
        <w:spacing w:before="40" w:after="240"/>
        <w:jc w:val="both"/>
        <w:outlineLvl w:val="1"/>
        <w:rPr>
          <w:rFonts w:ascii="Arial" w:eastAsiaTheme="majorEastAsia" w:hAnsi="Arial" w:cs="Arial"/>
          <w:b/>
          <w:szCs w:val="26"/>
          <w:lang w:val="en-US"/>
        </w:rPr>
      </w:pPr>
      <w:r>
        <w:rPr>
          <w:rFonts w:ascii="Arial" w:eastAsiaTheme="majorEastAsia" w:hAnsi="Arial" w:cs="Arial"/>
          <w:b/>
          <w:szCs w:val="26"/>
          <w:lang w:val="en-US"/>
        </w:rPr>
        <w:t>S4 Table</w:t>
      </w:r>
      <w:r w:rsidR="00A04F92">
        <w:rPr>
          <w:rFonts w:ascii="Arial" w:eastAsiaTheme="majorEastAsia" w:hAnsi="Arial" w:cs="Arial"/>
          <w:b/>
          <w:szCs w:val="26"/>
          <w:lang w:val="en-US"/>
        </w:rPr>
        <w:t>.</w:t>
      </w:r>
      <w:bookmarkStart w:id="0" w:name="_GoBack"/>
      <w:bookmarkEnd w:id="0"/>
      <w:r w:rsidRPr="00771D70">
        <w:rPr>
          <w:rFonts w:ascii="Arial" w:eastAsiaTheme="majorEastAsia" w:hAnsi="Arial" w:cs="Arial"/>
          <w:b/>
          <w:szCs w:val="26"/>
          <w:lang w:val="en-US"/>
        </w:rPr>
        <w:t xml:space="preserve"> </w:t>
      </w:r>
      <w:r w:rsidRPr="00771D70">
        <w:rPr>
          <w:rFonts w:ascii="Arial" w:hAnsi="Arial" w:cs="Arial"/>
          <w:b/>
          <w:lang w:val="en-US"/>
        </w:rPr>
        <w:t xml:space="preserve">Transcriptional regulation of </w:t>
      </w:r>
      <w:r w:rsidRPr="00771D70">
        <w:rPr>
          <w:rFonts w:ascii="Arial" w:hAnsi="Arial" w:cs="Arial"/>
          <w:b/>
          <w:i/>
          <w:lang w:val="en-US"/>
        </w:rPr>
        <w:t xml:space="preserve">cnfY </w:t>
      </w:r>
    </w:p>
    <w:p w:rsidR="008A162F" w:rsidRPr="0015762B" w:rsidRDefault="008A162F" w:rsidP="008A162F">
      <w:pPr>
        <w:pStyle w:val="Beschriftung"/>
        <w:rPr>
          <w:lang w:val="en-US"/>
        </w:rPr>
      </w:pPr>
      <w:r w:rsidRPr="00B51F7B">
        <w:rPr>
          <w:lang w:val="en-US"/>
        </w:rPr>
        <w:t>Differential expression</w:t>
      </w:r>
      <w:r w:rsidRPr="00771D70">
        <w:rPr>
          <w:rFonts w:cs="Arial"/>
          <w:b/>
          <w:lang w:val="en-US"/>
        </w:rPr>
        <w:t xml:space="preserve"> </w:t>
      </w:r>
      <w:r w:rsidRPr="00771D70">
        <w:rPr>
          <w:rFonts w:cs="Arial"/>
          <w:lang w:val="en-US"/>
        </w:rPr>
        <w:t xml:space="preserve">in </w:t>
      </w:r>
      <w:r w:rsidRPr="00771D70">
        <w:rPr>
          <w:rFonts w:cs="Arial"/>
          <w:i/>
          <w:lang w:val="en-US"/>
        </w:rPr>
        <w:t xml:space="preserve">Y. pseudotuberculosis </w:t>
      </w:r>
      <w:r w:rsidRPr="00771D70">
        <w:rPr>
          <w:rFonts w:cs="Arial"/>
          <w:lang w:val="en-US"/>
        </w:rPr>
        <w:t>strains YPIII (YPK_2615) and IP32953 (YPTB1468; pseudogene).</w:t>
      </w:r>
      <w:r w:rsidRPr="00B51F7B">
        <w:rPr>
          <w:lang w:val="en-US"/>
        </w:rPr>
        <w:t xml:space="preserve"> </w:t>
      </w:r>
      <w:proofErr w:type="gramStart"/>
      <w:r w:rsidRPr="00B51F7B">
        <w:rPr>
          <w:lang w:val="en-US"/>
        </w:rPr>
        <w:t>is</w:t>
      </w:r>
      <w:proofErr w:type="gramEnd"/>
      <w:r w:rsidRPr="00B51F7B">
        <w:rPr>
          <w:lang w:val="en-US"/>
        </w:rPr>
        <w:t xml:space="preserve"> represented by</w:t>
      </w:r>
      <w:r w:rsidRPr="00B51F7B">
        <w:rPr>
          <w:b/>
          <w:lang w:val="en-US"/>
        </w:rPr>
        <w:t xml:space="preserve"> </w:t>
      </w:r>
      <w:r w:rsidRPr="00B51F7B">
        <w:rPr>
          <w:lang w:val="en-US"/>
        </w:rPr>
        <w:t>Log2 fold changes.</w:t>
      </w:r>
      <w:r w:rsidRPr="00B51F7B">
        <w:rPr>
          <w:b/>
          <w:lang w:val="en-US"/>
        </w:rPr>
        <w:t xml:space="preserve"> </w:t>
      </w:r>
      <w:proofErr w:type="spellStart"/>
      <w:r w:rsidRPr="00B51F7B">
        <w:rPr>
          <w:lang w:val="en-US"/>
        </w:rPr>
        <w:t>n.s</w:t>
      </w:r>
      <w:proofErr w:type="spellEnd"/>
      <w:r w:rsidRPr="00B51F7B">
        <w:rPr>
          <w:lang w:val="en-US"/>
        </w:rPr>
        <w:t xml:space="preserve">. = not significant. Data obtained from references </w:t>
      </w:r>
      <w:r w:rsidRPr="00B51F7B">
        <w:rPr>
          <w:lang w:val="en-US"/>
        </w:rPr>
        <w:fldChar w:fldCharType="begin" w:fldLock="1"/>
      </w:r>
      <w:r>
        <w:rPr>
          <w:lang w:val="en-US"/>
        </w:rPr>
        <w:instrText>ADDIN CSL_CITATION {"citationItems":[{"id":"ITEM-1","itemData":{"DOI":"10.1371/journal.ppat.1004600","ISBN":"10.1371/journal.ppat.1004600","ISSN":"15537374","PMID":"25590628","abstract":"We recently found that Yersinia pseudotuberculosis can be used as a model of persistent bacterial infections. We performed in vivo RNA-seq of bacteria in small cecal tissue biopsies at early and persistent stages of infection to determine strategies associated with persistence. Comprehensive analysis of mixed RNA populations from infected tissues revealed that Y. pseudotuberculosis undergoes transcriptional reprogramming with drastic down-regulation of T3SS virulence genes during persistence when the pathogen resides within the cecum. At the persistent stage, the expression pattern in many respects resembles the pattern seen in vitro at 26oC, with for example, up-regulation of flagellar genes and invA. These findings are expected to have impact on future rationales to identify suitable bacterial targets for new antibiotics. Other genes that are up-regulated during persistence are genes involved in anaerobiosis, chemotaxis, and protection against oxidative and acidic stress, which indicates the influence of different environmental cues. We found that the Crp/CsrA/RovA regulatory cascades influence the pattern of bacterial gene expression during persistence. Furthermore, arcA, fnr, frdA, and wrbA play critical roles in persistence. Our findings suggest a model for the life cycle of this enteropathogen with reprogramming from a virulent to an adapted phenotype capable of persisting and spreading by fecal shedding.","author":[{"dropping-particle":"","family":"Avican","given":"Kemal","non-dropping-particle":"","parse-names":false,"suffix":""},{"dropping-particle":"","family":"Fahlgren","given":"Anna","non-dropping-particle":"","parse-names":false,"suffix":""},{"dropping-particle":"","family":"Huss","given":"Mikael","non-dropping-particle":"","parse-names":false,"suffix":""},{"dropping-particle":"","family":"Heroven","given":"Ann Kathrin","non-dropping-particle":"","parse-names":false,"suffix":""},{"dropping-particle":"","family":"Beckstette","given":"Michael","non-dropping-particle":"","parse-names":false,"suffix":""},{"dropping-particle":"","family":"Dersch","given":"Petra","non-dropping-particle":"","parse-names":false,"suffix":""},{"dropping-particle":"","family":"Fällman","given":"Maria","non-dropping-particle":"","parse-names":false,"suffix":""}],"container-title":"PLoS Pathog","id":"ITEM-1","issue":"1","issued":{"date-parts":[["2015"]]},"page":"1-28","title":"Reprogramming of &lt;i&gt;Yersinia&lt;/i&gt; from virulent to persistent mode revealed by complex &lt;i&gt;in vivo&lt;/i&gt; RNA-seq analysis","type":"article-journal","volume":"11"},"uris":["http://www.mendeley.com/documents/?uuid=efe9118a-652c-4eab-9038-34720c84269b"]},{"id":"ITEM-2","itemData":{"DOI":"10.1073/pnas.1613405114","ISBN":"0027-8424","ISSN":"0027-8424","PMID":"28096329","abstract":"Pathogenic bacteria need to rapidly adjust their virulence and fitness program to prevent eradication by the host. So far, underlying adaptation processes that drive pathogenesis have mostly been studied in vitro, neglecting the true complexity of host-induced stimuli acting on the invading pathogen. In this study, we developed an unbiased experimental approach that allows simultaneous monitoring of genome-wide infection-linked transcriptional alterations of the host and colonizing extracellular pathogens. Using this tool for Yersinia pseudotuberculosis-infected lymphatic tissues, we revealed numerous alterations of host transcripts associated with inflammatory and acute-phase responses, coagulative activities, and transition metal ion sequestration, highlighting that the immune response is dominated by infiltrating neutrophils and elicits a mixed TH17/TH1 response. In consequence, the pathogen’s response is mainly directed to prevent phagocytic attacks. Yersinia up-regulates the gene and expression dose of the antiphagocytic type III secretion system (T3SS) and induces functions counteracting neutrophil-induced ion deprivation, radical stress, and nutritional restraints. Several conserved bacterial riboregulators were identified that impacted this response. The strongest influence on virulence was found for the loss of the carbon storage regulator (Csr) system, which is shown to be essential for the up-regulation of the T3SS on host cell contact. In summary, our established approach provides a powerful tool for the discovery of infection-specific stimuli, induced host and pathogen responses, and underlying regulatory processes.","author":[{"dropping-particle":"","family":"Nuss","given":"Aaron M.","non-dropping-particle":"","parse-names":false,"suffix":""},{"dropping-particle":"","family":"Beckstette","given":"Michael","non-dropping-particle":"","parse-names":false,"suffix":""},{"dropping-particle":"","family":"Pimenova","given":"Maria","non-dropping-particle":"","parse-names":false,"suffix":""},{"dropping-particle":"","family":"Schmühl","given":"Carina","non-dropping-particle":"","parse-names":false,"suffix":""},{"dropping-particle":"","family":"Opitz","given":"Wiebke","non-dropping-particle":"","parse-names":false,"suffix":""},{"dropping-particle":"","family":"Pisano","given":"Fabio","non-dropping-particle":"","parse-names":false,"suffix":""},{"dropping-particle":"","family":"Heroven","given":"Ann Kathrin","non-dropping-particle":"","parse-names":false,"suffix":""},{"dropping-particle":"","family":"Dersch","given":"Petra","non-dropping-particle":"","parse-names":false,"suffix":""}],"container-title":"Proc Natl Acad Sci USA","id":"ITEM-2","issue":"5","issued":{"date-parts":[["2017"]]},"page":"E791-E800","title":"Tissue dual RNA-seq allows fast discovery of infection-specific functions and riboregulators shaping host–pathogen transcriptomes","type":"article-journal","volume":"114"},"uris":["http://www.mendeley.com/documents/?uuid=7d5e4adb-2f0c-45d4-ace9-1c1f0c670d09"]},{"id":"ITEM-3","itemData":{"DOI":"10.1371/journal.pgen.1005087","ISBN":"1553-7404 (Electronic)\\r1553-7390 (Linking)","ISSN":"15537404","PMID":"25816203","abstract":"One hallmark of pathogenic yersiniae is their ability to rapidly adjust their life-style and pathogenesis upon host entry. In order to capture the range, magnitude and complexity of the underlying gene control mechanisms we used comparative RNA-seq-based transcriptomic profiling of the enteric pathogen Y. pseudotuberculosis under environmental and infection-relevant conditions. We identified 1151 individual transcription start sites, multiple riboswitch-like RNA elements, and a global set of antisense RNAs and previously unrecognized trans-acting RNAs. Taking advantage of these data, we revealed a temperature-induced and growth phase-dependent reprogramming of a large set of catabolic/energy production genes and uncovered the existence of a thermo-regulated 'acetate switch', which appear to prime the bacteria for growth in the digestive tract. To elucidate the regulatory architecture linking nutritional status to virulence we also refined the CRP regulon. We identified a massive remodelling of the CRP-controlled network in response to temperature and discovered CRP as a transcriptional master regulator of numerous conserved and newly identified non-coding RNAs which participate in this process. This finding highlights a novel level of complexity of the regulatory network in which the concerted action of transcriptional regulators and multiple non-coding RNAs under control of CRP adjusts the control of Yersinia fitness and virulence to the requirements of their environmental and virulent life-styles.","author":[{"dropping-particle":"","family":"Nuss","given":"Aaron M.","non-dropping-particle":"","parse-names":false,"suffix":""},{"dropping-particle":"","family":"Heroven","given":"Ann Kathrin","non-dropping-particle":"","parse-names":false,"suffix":""},{"dropping-particle":"","family":"Waldmann","given":"Barbara","non-dropping-particle":"","parse-names":false,"suffix":""},{"dropping-particle":"","family":"Reinkensmeier","given":"Jan","non-dropping-particle":"","parse-names":false,"suffix":""},{"dropping-particle":"","family":"Jarek","given":"Michael","non-dropping-particle":"","parse-names":false,"suffix":""},{"dropping-particle":"","family":"Beckstette","given":"Michael","non-dropping-particle":"","parse-names":false,"suffix":""},{"dropping-particle":"","family":"Dersch","given":"Petra","non-dropping-particle":"","parse-names":false,"suffix":""}],"container-title":"PLoS Genet","id":"ITEM-3","issue":"3","issued":{"date-parts":[["2015"]]},"page":"e1005087","title":"Transcriptomic profiling of &lt;i&gt;Yersinia pseudotuberculosis&lt;/i&gt; reveals reprogramming of the Crp regulon by temperature and uncovers Crp as a master regulator of small RNAs","type":"article-journal","volume":"11"},"uris":["http://www.mendeley.com/documents/?uuid=2d81aca1-e9f8-4da6-844c-a8b3d9fc46ac"]},{"id":"ITEM-4","itemData":{"DOI":"10.1074/jbc.m114.581348","ISSN":"0021-9258","PMID":"25164818","abstract":"Despite our increasing knowledge of the specific pathogenicity factors in bacteria, the contribution of metabolic processes to virulence is largely unknown. Here, we elucidate a tight connection between pathogenicity and core metabolism in the enteric pathogen Yersinia pseudotuberculosis by integrated transcriptome and [(13)C]fluxome analysis of the wild type and virulence-regulator mutants. During aerobic growth on glucose, Y. pseudotuberculosis reveals an unusual flux distribution with a high level of secreted pyruvate. The absence of the transcriptional and post-transcriptional regulators RovA, CsrA, and Crp strongly perturbs the fluxes of carbon core metabolism at the level of pyruvate metabolism and the tricarboxylic acid (TCA) cycle, and these perturbations are accompanied by transcriptional changes in the corresponding enzymes. Knock-outs of regulators of this metabolic branch point and of its central enzyme, pyruvate kinase (ΔpykF), result in mutants with significantly reduced virulence in an oral mouse infection model. In summary, our work identifies the pyruvate-TCA cycle node as a focal point for controlling the host colonization and virulence of Yersinia.","author":[{"dropping-particle":"","family":"Bücker","given":"René","non-dropping-particle":"","parse-names":false,"suffix":""},{"dropping-particle":"","family":"Heroven","given":"Ann Kathrin","non-dropping-particle":"","parse-names":false,"suffix":""},{"dropping-particle":"","family":"Becker","given":"Judith","non-dropping-particle":"","parse-names":false,"suffix":""},{"dropping-particle":"","family":"Dersch","given":"Petra","non-dropping-particle":"","parse-names":false,"suffix":""},{"dropping-particle":"","family":"Wittmann","given":"Christoph","non-dropping-particle":"","parse-names":false,"suffix":""}],"container-title":"J Biol Chem","id":"ITEM-4","issue":"43","issued":{"date-parts":[["2014"]]},"page":"30114-30132","title":"The pyruvate-tricarboxylic acid cycle node: a focal point of virulence control in the enteric pathogen &lt;i&gt;Yersinia pseudotuberculosis&lt;/i&gt;","type":"article-journal","volume":"289"},"uris":["http://www.mendeley.com/documents/?uuid=36bbd825-3447-4c3c-b529-2ae91b3e2294"]}],"mendeley":{"formattedCitation":"[8–11]","plainTextFormattedCitation":"[8–11]","previouslyFormattedCitation":"(8–11)"},"properties":{"noteIndex":0},"schema":"https://github.com/citation-style-language/schema/raw/master/csl-citation.json"}</w:instrText>
      </w:r>
      <w:r w:rsidRPr="00B51F7B">
        <w:rPr>
          <w:lang w:val="en-US"/>
        </w:rPr>
        <w:fldChar w:fldCharType="separate"/>
      </w:r>
      <w:r w:rsidRPr="00181204">
        <w:rPr>
          <w:noProof/>
          <w:lang w:val="en-US"/>
        </w:rPr>
        <w:t>[8–11]</w:t>
      </w:r>
      <w:r w:rsidRPr="00B51F7B">
        <w:rPr>
          <w:lang w:val="en-US"/>
        </w:rPr>
        <w:fldChar w:fldCharType="end"/>
      </w:r>
      <w:r w:rsidRPr="00B51F7B">
        <w:rPr>
          <w:lang w:val="en-US"/>
        </w:rPr>
        <w:t>.</w:t>
      </w:r>
    </w:p>
    <w:tbl>
      <w:tblPr>
        <w:tblStyle w:val="Tabellenraster"/>
        <w:tblW w:w="5000" w:type="pct"/>
        <w:tblLook w:val="04A0" w:firstRow="1" w:lastRow="0" w:firstColumn="1" w:lastColumn="0" w:noHBand="0" w:noVBand="1"/>
      </w:tblPr>
      <w:tblGrid>
        <w:gridCol w:w="1021"/>
        <w:gridCol w:w="1020"/>
        <w:gridCol w:w="1055"/>
        <w:gridCol w:w="1883"/>
        <w:gridCol w:w="2043"/>
        <w:gridCol w:w="1020"/>
        <w:gridCol w:w="1020"/>
      </w:tblGrid>
      <w:tr w:rsidR="008A162F" w:rsidRPr="007F6D5B" w:rsidTr="007F2176">
        <w:trPr>
          <w:cantSplit/>
          <w:trHeight w:val="672"/>
        </w:trPr>
        <w:tc>
          <w:tcPr>
            <w:tcW w:w="563"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b/>
                <w:i/>
                <w:sz w:val="16"/>
                <w:szCs w:val="16"/>
                <w:lang w:val="en-US"/>
              </w:rPr>
              <w:t xml:space="preserve">Y. pseudotuberculosis </w:t>
            </w:r>
            <w:r w:rsidRPr="007F6D5B">
              <w:rPr>
                <w:rFonts w:ascii="Arial" w:hAnsi="Arial" w:cs="Arial"/>
                <w:b/>
                <w:sz w:val="16"/>
                <w:szCs w:val="16"/>
                <w:lang w:val="en-US"/>
              </w:rPr>
              <w:t>IP32953</w:t>
            </w:r>
          </w:p>
        </w:tc>
        <w:tc>
          <w:tcPr>
            <w:tcW w:w="563" w:type="pct"/>
            <w:vMerge w:val="restar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Nuss</w:t>
            </w:r>
            <w:proofErr w:type="spellEnd"/>
            <w:r w:rsidRPr="007F6D5B">
              <w:rPr>
                <w:rFonts w:ascii="Arial" w:hAnsi="Arial" w:cs="Arial"/>
                <w:sz w:val="16"/>
                <w:szCs w:val="16"/>
                <w:lang w:val="en-US"/>
              </w:rPr>
              <w:t xml:space="preserve"> </w:t>
            </w:r>
            <w:r w:rsidRPr="007F6D5B">
              <w:rPr>
                <w:rFonts w:ascii="Arial" w:hAnsi="Arial" w:cs="Arial"/>
                <w:i/>
                <w:sz w:val="16"/>
                <w:szCs w:val="16"/>
                <w:lang w:val="en-US"/>
              </w:rPr>
              <w:t>et al</w:t>
            </w:r>
            <w:r w:rsidRPr="007F6D5B">
              <w:rPr>
                <w:rFonts w:ascii="Arial" w:hAnsi="Arial" w:cs="Arial"/>
                <w:sz w:val="16"/>
                <w:szCs w:val="16"/>
                <w:lang w:val="en-US"/>
              </w:rPr>
              <w:t>., 2017</w:t>
            </w:r>
          </w:p>
        </w:tc>
        <w:tc>
          <w:tcPr>
            <w:tcW w:w="1621" w:type="pct"/>
            <w:gridSpan w:val="2"/>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i/>
                <w:sz w:val="16"/>
                <w:szCs w:val="16"/>
                <w:lang w:val="en-US"/>
              </w:rPr>
              <w:t>in vivo</w:t>
            </w:r>
            <w:r w:rsidRPr="007F6D5B">
              <w:rPr>
                <w:rFonts w:ascii="Arial" w:hAnsi="Arial" w:cs="Arial"/>
                <w:sz w:val="16"/>
                <w:szCs w:val="16"/>
                <w:lang w:val="en-US"/>
              </w:rPr>
              <w:t xml:space="preserve"> vs. 37 °C </w:t>
            </w:r>
            <w:r w:rsidRPr="007F6D5B">
              <w:rPr>
                <w:rFonts w:ascii="Arial" w:hAnsi="Arial" w:cs="Arial"/>
                <w:i/>
                <w:sz w:val="16"/>
                <w:szCs w:val="16"/>
                <w:lang w:val="en-US"/>
              </w:rPr>
              <w:t>in vitro</w:t>
            </w:r>
            <w:r w:rsidRPr="007F6D5B">
              <w:rPr>
                <w:rFonts w:ascii="Arial" w:hAnsi="Arial" w:cs="Arial"/>
                <w:sz w:val="16"/>
                <w:szCs w:val="16"/>
                <w:lang w:val="en-US"/>
              </w:rPr>
              <w:t xml:space="preserve"> </w:t>
            </w:r>
          </w:p>
        </w:tc>
        <w:tc>
          <w:tcPr>
            <w:tcW w:w="1127"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r w:rsidRPr="007F6D5B">
              <w:rPr>
                <w:rFonts w:ascii="Arial" w:hAnsi="Arial" w:cs="Arial"/>
                <w:sz w:val="16"/>
                <w:szCs w:val="16"/>
                <w:lang w:val="en-US"/>
              </w:rPr>
              <w:t>.</w:t>
            </w:r>
          </w:p>
        </w:tc>
      </w:tr>
      <w:tr w:rsidR="008A162F" w:rsidRPr="007F6D5B" w:rsidTr="007F2176">
        <w:trPr>
          <w:cantSplit/>
          <w:trHeight w:val="518"/>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vMerge/>
            <w:vAlign w:val="center"/>
          </w:tcPr>
          <w:p w:rsidR="008A162F" w:rsidRPr="007F6D5B" w:rsidRDefault="008A162F" w:rsidP="007F2176">
            <w:pPr>
              <w:jc w:val="center"/>
              <w:rPr>
                <w:rFonts w:ascii="Arial" w:hAnsi="Arial"/>
                <w:sz w:val="24"/>
                <w:lang w:val="en-US"/>
              </w:rPr>
            </w:pPr>
          </w:p>
        </w:tc>
        <w:tc>
          <w:tcPr>
            <w:tcW w:w="1127"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563" w:type="pct"/>
            <w:textDirection w:val="btLr"/>
            <w:vAlign w:val="center"/>
          </w:tcPr>
          <w:p w:rsidR="008A162F" w:rsidRPr="007F6D5B" w:rsidRDefault="008A162F" w:rsidP="007F2176">
            <w:pPr>
              <w:ind w:left="113" w:right="113"/>
              <w:jc w:val="center"/>
              <w:rPr>
                <w:rFonts w:ascii="Arial" w:hAnsi="Arial" w:cs="Arial"/>
                <w:sz w:val="16"/>
                <w:szCs w:val="16"/>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1.9</w:t>
            </w:r>
          </w:p>
        </w:tc>
      </w:tr>
      <w:tr w:rsidR="008A162F" w:rsidRPr="007F6D5B" w:rsidTr="007F2176">
        <w:trPr>
          <w:cantSplit/>
          <w:trHeight w:val="589"/>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i/>
                <w:sz w:val="16"/>
                <w:szCs w:val="16"/>
                <w:lang w:val="en-US"/>
              </w:rPr>
              <w:t>in vivo</w:t>
            </w:r>
            <w:r w:rsidRPr="007F6D5B">
              <w:rPr>
                <w:rFonts w:ascii="Arial" w:hAnsi="Arial" w:cs="Arial"/>
                <w:sz w:val="16"/>
                <w:szCs w:val="16"/>
                <w:lang w:val="en-US"/>
              </w:rPr>
              <w:t xml:space="preserve"> vs. 25 °C </w:t>
            </w:r>
            <w:r w:rsidRPr="007F6D5B">
              <w:rPr>
                <w:rFonts w:ascii="Arial" w:hAnsi="Arial" w:cs="Arial"/>
                <w:i/>
                <w:sz w:val="16"/>
                <w:szCs w:val="16"/>
                <w:lang w:val="en-US"/>
              </w:rPr>
              <w:t>in vitro</w:t>
            </w:r>
            <w:r w:rsidRPr="007F6D5B">
              <w:rPr>
                <w:rFonts w:ascii="Arial" w:hAnsi="Arial" w:cs="Arial"/>
                <w:sz w:val="16"/>
                <w:szCs w:val="16"/>
                <w:lang w:val="en-US"/>
              </w:rPr>
              <w:t xml:space="preserve"> </w:t>
            </w:r>
          </w:p>
        </w:tc>
        <w:tc>
          <w:tcPr>
            <w:tcW w:w="1127"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r w:rsidRPr="007F6D5B">
              <w:rPr>
                <w:rFonts w:ascii="Arial" w:hAnsi="Arial" w:cs="Arial"/>
                <w:sz w:val="16"/>
                <w:szCs w:val="16"/>
                <w:lang w:val="en-US"/>
              </w:rPr>
              <w:t>.</w:t>
            </w:r>
          </w:p>
        </w:tc>
      </w:tr>
      <w:tr w:rsidR="008A162F" w:rsidRPr="007F6D5B" w:rsidTr="007F2176">
        <w:trPr>
          <w:cantSplit/>
          <w:trHeight w:val="555"/>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vMerge/>
            <w:vAlign w:val="center"/>
          </w:tcPr>
          <w:p w:rsidR="008A162F" w:rsidRPr="007F6D5B" w:rsidRDefault="008A162F" w:rsidP="007F2176">
            <w:pPr>
              <w:jc w:val="center"/>
              <w:rPr>
                <w:rFonts w:ascii="Arial" w:hAnsi="Arial"/>
                <w:sz w:val="24"/>
                <w:lang w:val="en-US"/>
              </w:rPr>
            </w:pPr>
          </w:p>
        </w:tc>
        <w:tc>
          <w:tcPr>
            <w:tcW w:w="1127"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563" w:type="pct"/>
            <w:textDirection w:val="btLr"/>
            <w:vAlign w:val="center"/>
          </w:tcPr>
          <w:p w:rsidR="008A162F" w:rsidRPr="007F6D5B" w:rsidRDefault="008A162F" w:rsidP="007F2176">
            <w:pPr>
              <w:ind w:left="113" w:right="113"/>
              <w:jc w:val="center"/>
              <w:rPr>
                <w:rFonts w:ascii="Arial" w:hAnsi="Arial" w:cs="Arial"/>
                <w:sz w:val="16"/>
                <w:szCs w:val="16"/>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2.3</w:t>
            </w:r>
          </w:p>
        </w:tc>
      </w:tr>
      <w:tr w:rsidR="008A162F" w:rsidRPr="007F6D5B" w:rsidTr="007F2176">
        <w:trPr>
          <w:cantSplit/>
          <w:trHeight w:val="799"/>
        </w:trPr>
        <w:tc>
          <w:tcPr>
            <w:tcW w:w="563"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b/>
                <w:i/>
                <w:sz w:val="16"/>
                <w:szCs w:val="16"/>
                <w:lang w:val="en-US"/>
              </w:rPr>
              <w:t xml:space="preserve">Y. pseudotuberculosis </w:t>
            </w:r>
            <w:r w:rsidRPr="007F6D5B">
              <w:rPr>
                <w:rFonts w:ascii="Arial" w:hAnsi="Arial" w:cs="Arial"/>
                <w:b/>
                <w:sz w:val="16"/>
                <w:szCs w:val="16"/>
                <w:lang w:val="en-US"/>
              </w:rPr>
              <w:t>YPIII</w:t>
            </w:r>
          </w:p>
        </w:tc>
        <w:tc>
          <w:tcPr>
            <w:tcW w:w="563" w:type="pct"/>
            <w:vMerge w:val="restart"/>
            <w:tcBorders>
              <w:bottom w:val="single" w:sz="4" w:space="0" w:color="auto"/>
            </w:tcBorders>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Bücker</w:t>
            </w:r>
            <w:proofErr w:type="spellEnd"/>
            <w:r w:rsidRPr="007F6D5B">
              <w:rPr>
                <w:rFonts w:ascii="Arial" w:hAnsi="Arial" w:cs="Arial"/>
                <w:sz w:val="16"/>
                <w:szCs w:val="16"/>
                <w:lang w:val="en-US"/>
              </w:rPr>
              <w:t xml:space="preserve"> </w:t>
            </w:r>
            <w:r w:rsidRPr="007F6D5B">
              <w:rPr>
                <w:rFonts w:ascii="Arial" w:hAnsi="Arial" w:cs="Arial"/>
                <w:i/>
                <w:sz w:val="16"/>
                <w:szCs w:val="16"/>
                <w:lang w:val="en-US"/>
              </w:rPr>
              <w:t>et al</w:t>
            </w:r>
            <w:r w:rsidRPr="007F6D5B">
              <w:rPr>
                <w:rFonts w:ascii="Arial" w:hAnsi="Arial" w:cs="Arial"/>
                <w:sz w:val="16"/>
                <w:szCs w:val="16"/>
                <w:lang w:val="en-US"/>
              </w:rPr>
              <w:t>., 2014</w:t>
            </w:r>
          </w:p>
        </w:tc>
        <w:tc>
          <w:tcPr>
            <w:tcW w:w="582"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25 °C</w:t>
            </w:r>
          </w:p>
        </w:tc>
        <w:tc>
          <w:tcPr>
            <w:tcW w:w="1039" w:type="pct"/>
            <w:tcBorders>
              <w:bottom w:val="single" w:sz="4" w:space="0" w:color="auto"/>
            </w:tcBorders>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8"/>
                <w:lang w:val="en-US"/>
              </w:rPr>
              <w:t>Δ</w:t>
            </w:r>
            <w:r w:rsidRPr="007F6D5B">
              <w:rPr>
                <w:rFonts w:ascii="Arial" w:hAnsi="Arial" w:cs="Arial"/>
                <w:i/>
                <w:sz w:val="16"/>
                <w:szCs w:val="16"/>
                <w:lang w:val="en-US"/>
              </w:rPr>
              <w:t>crp</w:t>
            </w:r>
            <w:proofErr w:type="spellEnd"/>
            <w:r w:rsidRPr="007F6D5B">
              <w:rPr>
                <w:rFonts w:ascii="Arial" w:hAnsi="Arial" w:cs="Arial"/>
                <w:sz w:val="16"/>
                <w:szCs w:val="16"/>
                <w:lang w:val="en-US"/>
              </w:rPr>
              <w:t xml:space="preserve"> vs. WT</w:t>
            </w:r>
          </w:p>
        </w:tc>
        <w:tc>
          <w:tcPr>
            <w:tcW w:w="1127" w:type="pct"/>
            <w:tcBorders>
              <w:bottom w:val="single" w:sz="4" w:space="0" w:color="auto"/>
            </w:tcBorders>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cBorders>
              <w:bottom w:val="single" w:sz="4" w:space="0" w:color="auto"/>
            </w:tcBorders>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exp</w:t>
            </w:r>
            <w:proofErr w:type="spellEnd"/>
          </w:p>
        </w:tc>
        <w:tc>
          <w:tcPr>
            <w:tcW w:w="563" w:type="pct"/>
            <w:tcBorders>
              <w:bottom w:val="single" w:sz="4" w:space="0" w:color="auto"/>
            </w:tcBorders>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r w:rsidRPr="007F6D5B">
              <w:rPr>
                <w:rFonts w:ascii="Arial" w:hAnsi="Arial" w:cs="Arial"/>
                <w:sz w:val="16"/>
                <w:szCs w:val="16"/>
                <w:lang w:val="en-US"/>
              </w:rPr>
              <w:t>.</w:t>
            </w:r>
          </w:p>
        </w:tc>
      </w:tr>
      <w:tr w:rsidR="008A162F" w:rsidRPr="007F6D5B" w:rsidTr="007F2176">
        <w:trPr>
          <w:cantSplit/>
          <w:trHeight w:val="787"/>
        </w:trPr>
        <w:tc>
          <w:tcPr>
            <w:tcW w:w="563" w:type="pct"/>
            <w:vMerge/>
            <w:vAlign w:val="center"/>
          </w:tcPr>
          <w:p w:rsidR="008A162F" w:rsidRPr="007F6D5B" w:rsidRDefault="008A162F" w:rsidP="007F2176">
            <w:pPr>
              <w:ind w:left="113" w:right="113"/>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582"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1039"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8"/>
                <w:lang w:val="en-US"/>
              </w:rPr>
              <w:t>Δ</w:t>
            </w:r>
            <w:r w:rsidRPr="007F6D5B">
              <w:rPr>
                <w:rFonts w:ascii="Arial" w:hAnsi="Arial" w:cs="Arial"/>
                <w:i/>
                <w:sz w:val="16"/>
                <w:szCs w:val="16"/>
                <w:lang w:val="en-US"/>
              </w:rPr>
              <w:t>csrA</w:t>
            </w:r>
            <w:proofErr w:type="spellEnd"/>
            <w:r w:rsidRPr="007F6D5B">
              <w:rPr>
                <w:rFonts w:ascii="Arial" w:hAnsi="Arial" w:cs="Arial"/>
                <w:i/>
                <w:sz w:val="16"/>
                <w:szCs w:val="16"/>
                <w:lang w:val="en-US"/>
              </w:rPr>
              <w:t xml:space="preserve"> </w:t>
            </w:r>
            <w:r w:rsidRPr="007F6D5B">
              <w:rPr>
                <w:rFonts w:ascii="Arial" w:hAnsi="Arial" w:cs="Arial"/>
                <w:sz w:val="16"/>
                <w:szCs w:val="16"/>
                <w:lang w:val="en-US"/>
              </w:rPr>
              <w:t>vs. WT</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r w:rsidRPr="007F6D5B">
              <w:rPr>
                <w:rFonts w:ascii="Arial" w:hAnsi="Arial" w:cs="Arial"/>
                <w:sz w:val="16"/>
                <w:szCs w:val="16"/>
                <w:lang w:val="en-US"/>
              </w:rPr>
              <w:t>.</w:t>
            </w:r>
          </w:p>
        </w:tc>
      </w:tr>
      <w:tr w:rsidR="008A162F" w:rsidRPr="007F6D5B" w:rsidTr="007F2176">
        <w:trPr>
          <w:cantSplit/>
          <w:trHeight w:val="789"/>
        </w:trPr>
        <w:tc>
          <w:tcPr>
            <w:tcW w:w="563" w:type="pct"/>
            <w:vMerge/>
            <w:vAlign w:val="center"/>
          </w:tcPr>
          <w:p w:rsidR="008A162F" w:rsidRPr="007F6D5B" w:rsidRDefault="008A162F" w:rsidP="007F2176">
            <w:pPr>
              <w:ind w:left="113" w:right="113"/>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582"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1039"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8"/>
                <w:lang w:val="en-US"/>
              </w:rPr>
              <w:t>Δ</w:t>
            </w:r>
            <w:r w:rsidRPr="007F6D5B">
              <w:rPr>
                <w:rFonts w:ascii="Arial" w:hAnsi="Arial" w:cs="Arial"/>
                <w:i/>
                <w:sz w:val="16"/>
                <w:szCs w:val="16"/>
                <w:lang w:val="en-US"/>
              </w:rPr>
              <w:t>rovA</w:t>
            </w:r>
            <w:proofErr w:type="spellEnd"/>
            <w:r w:rsidRPr="007F6D5B">
              <w:rPr>
                <w:rFonts w:ascii="Arial" w:hAnsi="Arial" w:cs="Arial"/>
                <w:i/>
                <w:sz w:val="16"/>
                <w:szCs w:val="16"/>
                <w:lang w:val="en-US"/>
              </w:rPr>
              <w:t xml:space="preserve"> </w:t>
            </w:r>
            <w:r w:rsidRPr="007F6D5B">
              <w:rPr>
                <w:rFonts w:ascii="Arial" w:hAnsi="Arial" w:cs="Arial"/>
                <w:sz w:val="16"/>
                <w:szCs w:val="16"/>
                <w:lang w:val="en-US"/>
              </w:rPr>
              <w:t>vs. WT</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r w:rsidRPr="007F6D5B">
              <w:rPr>
                <w:rFonts w:ascii="Arial" w:hAnsi="Arial" w:cs="Arial"/>
                <w:sz w:val="16"/>
                <w:szCs w:val="16"/>
                <w:lang w:val="en-US"/>
              </w:rPr>
              <w:t>.</w:t>
            </w:r>
          </w:p>
        </w:tc>
      </w:tr>
      <w:tr w:rsidR="008A162F" w:rsidRPr="007F6D5B" w:rsidTr="007F2176">
        <w:trPr>
          <w:trHeight w:val="555"/>
        </w:trPr>
        <w:tc>
          <w:tcPr>
            <w:tcW w:w="563" w:type="pct"/>
            <w:vMerge/>
            <w:vAlign w:val="center"/>
          </w:tcPr>
          <w:p w:rsidR="008A162F" w:rsidRPr="007F6D5B" w:rsidRDefault="008A162F" w:rsidP="007F2176">
            <w:pPr>
              <w:ind w:left="113" w:right="113"/>
              <w:jc w:val="center"/>
              <w:rPr>
                <w:rFonts w:ascii="Arial" w:hAnsi="Arial"/>
                <w:sz w:val="24"/>
                <w:lang w:val="en-US"/>
              </w:rPr>
            </w:pPr>
          </w:p>
        </w:tc>
        <w:tc>
          <w:tcPr>
            <w:tcW w:w="563" w:type="pct"/>
            <w:vMerge w:val="restart"/>
            <w:textDirection w:val="btLr"/>
            <w:vAlign w:val="center"/>
          </w:tcPr>
          <w:p w:rsidR="008A162F" w:rsidRPr="007F6D5B" w:rsidRDefault="008A162F" w:rsidP="007F2176">
            <w:pPr>
              <w:ind w:left="113" w:right="113"/>
              <w:jc w:val="center"/>
              <w:rPr>
                <w:rFonts w:ascii="Arial" w:hAnsi="Arial" w:cs="Arial"/>
                <w:sz w:val="16"/>
                <w:szCs w:val="16"/>
                <w:lang w:val="en-US"/>
              </w:rPr>
            </w:pPr>
            <w:proofErr w:type="spellStart"/>
            <w:r w:rsidRPr="007F6D5B">
              <w:rPr>
                <w:rFonts w:ascii="Arial" w:hAnsi="Arial" w:cs="Arial"/>
                <w:sz w:val="16"/>
                <w:szCs w:val="16"/>
                <w:lang w:val="en-US"/>
              </w:rPr>
              <w:t>Avican</w:t>
            </w:r>
            <w:proofErr w:type="spellEnd"/>
            <w:r w:rsidRPr="007F6D5B">
              <w:rPr>
                <w:rFonts w:ascii="Arial" w:hAnsi="Arial" w:cs="Arial"/>
                <w:sz w:val="16"/>
                <w:szCs w:val="16"/>
                <w:lang w:val="en-US"/>
              </w:rPr>
              <w:t xml:space="preserve"> </w:t>
            </w:r>
            <w:r w:rsidRPr="007F6D5B">
              <w:rPr>
                <w:rFonts w:ascii="Arial" w:hAnsi="Arial" w:cs="Arial"/>
                <w:i/>
                <w:sz w:val="16"/>
                <w:szCs w:val="16"/>
                <w:lang w:val="en-US"/>
              </w:rPr>
              <w:t>et al</w:t>
            </w:r>
            <w:r w:rsidRPr="007F6D5B">
              <w:rPr>
                <w:rFonts w:ascii="Arial" w:hAnsi="Arial" w:cs="Arial"/>
                <w:sz w:val="16"/>
                <w:szCs w:val="16"/>
                <w:lang w:val="en-US"/>
              </w:rPr>
              <w:t>., 2015</w:t>
            </w:r>
          </w:p>
        </w:tc>
        <w:tc>
          <w:tcPr>
            <w:tcW w:w="1621" w:type="pct"/>
            <w:gridSpan w:val="2"/>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Aerobic vs anaerobic growth</w:t>
            </w:r>
          </w:p>
        </w:tc>
        <w:tc>
          <w:tcPr>
            <w:tcW w:w="1127"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0.8</w:t>
            </w:r>
          </w:p>
        </w:tc>
      </w:tr>
      <w:tr w:rsidR="008A162F" w:rsidRPr="007F6D5B" w:rsidTr="007F2176">
        <w:trPr>
          <w:trHeight w:val="560"/>
        </w:trPr>
        <w:tc>
          <w:tcPr>
            <w:tcW w:w="563" w:type="pct"/>
            <w:vMerge/>
            <w:vAlign w:val="center"/>
          </w:tcPr>
          <w:p w:rsidR="008A162F" w:rsidRPr="007F6D5B" w:rsidRDefault="008A162F" w:rsidP="007F2176">
            <w:pPr>
              <w:ind w:left="113" w:right="113"/>
              <w:jc w:val="center"/>
              <w:rPr>
                <w:rFonts w:ascii="Arial" w:hAnsi="Arial"/>
                <w:sz w:val="24"/>
                <w:lang w:val="en-US"/>
              </w:rPr>
            </w:pPr>
          </w:p>
        </w:tc>
        <w:tc>
          <w:tcPr>
            <w:tcW w:w="563"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1621" w:type="pct"/>
            <w:gridSpan w:val="2"/>
            <w:vMerge/>
            <w:textDirection w:val="btLr"/>
            <w:vAlign w:val="center"/>
          </w:tcPr>
          <w:p w:rsidR="008A162F" w:rsidRPr="007F6D5B" w:rsidRDefault="008A162F" w:rsidP="007F2176">
            <w:pPr>
              <w:ind w:left="113" w:right="113"/>
              <w:jc w:val="center"/>
              <w:rPr>
                <w:rFonts w:ascii="Arial" w:hAnsi="Arial"/>
                <w:sz w:val="24"/>
                <w:lang w:val="en-US"/>
              </w:rPr>
            </w:pPr>
          </w:p>
        </w:tc>
        <w:tc>
          <w:tcPr>
            <w:tcW w:w="1127"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0.9</w:t>
            </w:r>
          </w:p>
        </w:tc>
      </w:tr>
      <w:tr w:rsidR="008A162F" w:rsidRPr="007F6D5B" w:rsidTr="007F2176">
        <w:trPr>
          <w:cantSplit/>
          <w:trHeight w:val="1134"/>
        </w:trPr>
        <w:tc>
          <w:tcPr>
            <w:tcW w:w="563"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563"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1621" w:type="pct"/>
            <w:gridSpan w:val="2"/>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Persistent infection vs. early infection</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Not specified</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-2.9</w:t>
            </w:r>
          </w:p>
        </w:tc>
      </w:tr>
      <w:tr w:rsidR="008A162F" w:rsidRPr="007F6D5B" w:rsidTr="007F2176">
        <w:trPr>
          <w:cantSplit/>
          <w:trHeight w:val="1134"/>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textDirection w:val="btLr"/>
            <w:vAlign w:val="center"/>
          </w:tcPr>
          <w:p w:rsidR="008A162F" w:rsidRPr="007F6D5B" w:rsidRDefault="008A162F" w:rsidP="007F2176">
            <w:pPr>
              <w:ind w:left="113" w:right="113"/>
              <w:jc w:val="center"/>
              <w:rPr>
                <w:rFonts w:ascii="Arial" w:hAnsi="Arial"/>
                <w:sz w:val="24"/>
                <w:lang w:val="en-US"/>
              </w:rPr>
            </w:pPr>
          </w:p>
        </w:tc>
        <w:tc>
          <w:tcPr>
            <w:tcW w:w="1621" w:type="pct"/>
            <w:gridSpan w:val="2"/>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 xml:space="preserve">37 °C </w:t>
            </w:r>
            <w:r w:rsidRPr="007F6D5B">
              <w:rPr>
                <w:rFonts w:ascii="Arial" w:hAnsi="Arial" w:cs="Arial"/>
                <w:i/>
                <w:sz w:val="16"/>
                <w:szCs w:val="16"/>
                <w:lang w:val="en-US"/>
              </w:rPr>
              <w:t>in vitro</w:t>
            </w:r>
            <w:r w:rsidRPr="007F6D5B">
              <w:rPr>
                <w:rFonts w:ascii="Arial" w:hAnsi="Arial" w:cs="Arial"/>
                <w:sz w:val="16"/>
                <w:szCs w:val="16"/>
                <w:lang w:val="en-US"/>
              </w:rPr>
              <w:t xml:space="preserve"> vs. 26 °C </w:t>
            </w:r>
            <w:r w:rsidRPr="007F6D5B">
              <w:rPr>
                <w:rFonts w:ascii="Arial" w:hAnsi="Arial" w:cs="Arial"/>
                <w:i/>
                <w:sz w:val="16"/>
                <w:szCs w:val="16"/>
                <w:lang w:val="en-US"/>
              </w:rPr>
              <w:t>in vitro</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Not specified</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3.0</w:t>
            </w:r>
          </w:p>
        </w:tc>
      </w:tr>
      <w:tr w:rsidR="008A162F" w:rsidRPr="007F6D5B" w:rsidTr="007F2176">
        <w:trPr>
          <w:cantSplit/>
          <w:trHeight w:val="755"/>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restar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Nuss</w:t>
            </w:r>
            <w:proofErr w:type="spellEnd"/>
            <w:r w:rsidRPr="007F6D5B">
              <w:rPr>
                <w:rFonts w:ascii="Arial" w:hAnsi="Arial" w:cs="Arial"/>
                <w:sz w:val="16"/>
                <w:szCs w:val="16"/>
                <w:lang w:val="en-US"/>
              </w:rPr>
              <w:t xml:space="preserve"> </w:t>
            </w:r>
            <w:r w:rsidRPr="007F6D5B">
              <w:rPr>
                <w:rFonts w:ascii="Arial" w:hAnsi="Arial" w:cs="Arial"/>
                <w:i/>
                <w:sz w:val="16"/>
                <w:szCs w:val="16"/>
                <w:lang w:val="en-US"/>
              </w:rPr>
              <w:t>et al</w:t>
            </w:r>
            <w:r w:rsidRPr="007F6D5B">
              <w:rPr>
                <w:rFonts w:ascii="Arial" w:hAnsi="Arial" w:cs="Arial"/>
                <w:sz w:val="16"/>
                <w:szCs w:val="16"/>
                <w:lang w:val="en-US"/>
              </w:rPr>
              <w:t>., 2015</w:t>
            </w:r>
          </w:p>
        </w:tc>
        <w:tc>
          <w:tcPr>
            <w:tcW w:w="582"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Symbol" w:hAnsi="Symbol" w:cs="Arial"/>
                <w:sz w:val="16"/>
                <w:szCs w:val="16"/>
                <w:lang w:val="en-US"/>
              </w:rPr>
              <w:t></w:t>
            </w:r>
            <w:proofErr w:type="spellStart"/>
            <w:r w:rsidRPr="007F6D5B">
              <w:rPr>
                <w:rFonts w:ascii="Arial" w:hAnsi="Arial" w:cs="Arial"/>
                <w:i/>
                <w:sz w:val="16"/>
                <w:szCs w:val="16"/>
                <w:lang w:val="en-US"/>
              </w:rPr>
              <w:t>crp</w:t>
            </w:r>
            <w:proofErr w:type="spellEnd"/>
            <w:r w:rsidRPr="007F6D5B">
              <w:rPr>
                <w:rFonts w:ascii="Arial" w:hAnsi="Arial" w:cs="Arial"/>
                <w:i/>
                <w:sz w:val="16"/>
                <w:szCs w:val="16"/>
                <w:lang w:val="en-US"/>
              </w:rPr>
              <w:t xml:space="preserve"> </w:t>
            </w:r>
            <w:r w:rsidRPr="007F6D5B">
              <w:rPr>
                <w:rFonts w:ascii="Arial" w:hAnsi="Arial" w:cs="Arial"/>
                <w:sz w:val="16"/>
                <w:szCs w:val="16"/>
                <w:lang w:val="en-US"/>
              </w:rPr>
              <w:t>vs. WT</w:t>
            </w:r>
          </w:p>
        </w:tc>
        <w:tc>
          <w:tcPr>
            <w:tcW w:w="1039"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37 °C</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-0.8</w:t>
            </w:r>
          </w:p>
        </w:tc>
      </w:tr>
      <w:tr w:rsidR="008A162F" w:rsidRPr="007F6D5B" w:rsidTr="007F2176">
        <w:trPr>
          <w:cantSplit/>
          <w:trHeight w:val="743"/>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textDirection w:val="btLr"/>
            <w:vAlign w:val="center"/>
          </w:tcPr>
          <w:p w:rsidR="008A162F" w:rsidRPr="007F6D5B" w:rsidRDefault="008A162F" w:rsidP="007F2176">
            <w:pPr>
              <w:ind w:left="113" w:right="113"/>
              <w:jc w:val="center"/>
              <w:rPr>
                <w:rFonts w:ascii="Arial" w:hAnsi="Arial" w:cs="Arial"/>
                <w:sz w:val="16"/>
                <w:szCs w:val="16"/>
                <w:lang w:val="en-US"/>
              </w:rPr>
            </w:pPr>
          </w:p>
        </w:tc>
        <w:tc>
          <w:tcPr>
            <w:tcW w:w="582" w:type="pct"/>
            <w:vMerge/>
            <w:textDirection w:val="btLr"/>
            <w:vAlign w:val="center"/>
          </w:tcPr>
          <w:p w:rsidR="008A162F" w:rsidRPr="007F6D5B" w:rsidRDefault="008A162F" w:rsidP="007F2176">
            <w:pPr>
              <w:ind w:left="113" w:right="113"/>
              <w:jc w:val="center"/>
              <w:rPr>
                <w:rFonts w:ascii="Arial" w:hAnsi="Arial" w:cs="Arial"/>
                <w:sz w:val="16"/>
                <w:szCs w:val="16"/>
                <w:lang w:val="en-US"/>
              </w:rPr>
            </w:pPr>
          </w:p>
        </w:tc>
        <w:tc>
          <w:tcPr>
            <w:tcW w:w="1039"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25 °C</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1.5</w:t>
            </w:r>
          </w:p>
        </w:tc>
      </w:tr>
      <w:tr w:rsidR="008A162F" w:rsidRPr="007F6D5B" w:rsidTr="007F2176">
        <w:trPr>
          <w:cantSplit/>
          <w:trHeight w:val="1142"/>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textDirection w:val="btLr"/>
            <w:vAlign w:val="center"/>
          </w:tcPr>
          <w:p w:rsidR="008A162F" w:rsidRPr="007F6D5B" w:rsidRDefault="008A162F" w:rsidP="007F2176">
            <w:pPr>
              <w:ind w:left="113" w:right="113"/>
              <w:jc w:val="center"/>
              <w:rPr>
                <w:rFonts w:ascii="Arial" w:hAnsi="Arial" w:cs="Arial"/>
                <w:sz w:val="16"/>
                <w:szCs w:val="16"/>
                <w:lang w:val="en-US"/>
              </w:rPr>
            </w:pPr>
            <w:r w:rsidRPr="007F6D5B">
              <w:rPr>
                <w:rFonts w:ascii="Arial" w:hAnsi="Arial" w:cs="Arial"/>
                <w:sz w:val="16"/>
                <w:szCs w:val="16"/>
                <w:lang w:val="en-US"/>
              </w:rPr>
              <w:t xml:space="preserve">37 °C </w:t>
            </w:r>
            <w:r w:rsidRPr="007F6D5B">
              <w:rPr>
                <w:rFonts w:ascii="Arial" w:hAnsi="Arial" w:cs="Arial"/>
                <w:i/>
                <w:sz w:val="16"/>
                <w:szCs w:val="16"/>
                <w:lang w:val="en-US"/>
              </w:rPr>
              <w:t xml:space="preserve">in vitro </w:t>
            </w:r>
            <w:r w:rsidRPr="007F6D5B">
              <w:rPr>
                <w:rFonts w:ascii="Arial" w:hAnsi="Arial" w:cs="Arial"/>
                <w:sz w:val="16"/>
                <w:szCs w:val="16"/>
                <w:lang w:val="en-US"/>
              </w:rPr>
              <w:t>(</w:t>
            </w:r>
            <w:r w:rsidRPr="007F6D5B">
              <w:rPr>
                <w:rFonts w:ascii="Arial" w:hAnsi="Arial" w:cs="Arial"/>
                <w:sz w:val="18"/>
                <w:lang w:val="en-US"/>
              </w:rPr>
              <w:t xml:space="preserve">Δ </w:t>
            </w:r>
            <w:proofErr w:type="spellStart"/>
            <w:r w:rsidRPr="007F6D5B">
              <w:rPr>
                <w:rFonts w:ascii="Arial" w:hAnsi="Arial" w:cs="Arial"/>
                <w:i/>
                <w:sz w:val="16"/>
                <w:szCs w:val="16"/>
                <w:lang w:val="en-US"/>
              </w:rPr>
              <w:t>crp</w:t>
            </w:r>
            <w:proofErr w:type="spellEnd"/>
            <w:r w:rsidRPr="007F6D5B">
              <w:rPr>
                <w:rFonts w:ascii="Arial" w:hAnsi="Arial" w:cs="Arial"/>
                <w:sz w:val="16"/>
                <w:szCs w:val="16"/>
                <w:lang w:val="en-US"/>
              </w:rPr>
              <w:t xml:space="preserve">) vs. 25 °C </w:t>
            </w:r>
            <w:r w:rsidRPr="007F6D5B">
              <w:rPr>
                <w:rFonts w:ascii="Arial" w:hAnsi="Arial" w:cs="Arial"/>
                <w:i/>
                <w:sz w:val="16"/>
                <w:szCs w:val="16"/>
                <w:lang w:val="en-US"/>
              </w:rPr>
              <w:t xml:space="preserve">in vitro </w:t>
            </w:r>
            <w:r w:rsidRPr="007F6D5B">
              <w:rPr>
                <w:rFonts w:ascii="Arial" w:hAnsi="Arial" w:cs="Arial"/>
                <w:sz w:val="16"/>
                <w:szCs w:val="16"/>
                <w:lang w:val="en-US"/>
              </w:rPr>
              <w:t>(</w:t>
            </w:r>
            <w:r w:rsidRPr="007F6D5B">
              <w:rPr>
                <w:rFonts w:ascii="Arial" w:hAnsi="Arial" w:cs="Arial"/>
                <w:sz w:val="18"/>
                <w:lang w:val="en-US"/>
              </w:rPr>
              <w:t xml:space="preserve">Δ </w:t>
            </w:r>
            <w:proofErr w:type="spellStart"/>
            <w:r w:rsidRPr="007F6D5B">
              <w:rPr>
                <w:rFonts w:ascii="Arial" w:hAnsi="Arial" w:cs="Arial"/>
                <w:i/>
                <w:sz w:val="16"/>
                <w:szCs w:val="16"/>
                <w:lang w:val="en-US"/>
              </w:rPr>
              <w:t>crp</w:t>
            </w:r>
            <w:proofErr w:type="spellEnd"/>
            <w:r w:rsidRPr="007F6D5B">
              <w:rPr>
                <w:rFonts w:ascii="Arial" w:hAnsi="Arial" w:cs="Arial"/>
                <w:sz w:val="16"/>
                <w:szCs w:val="16"/>
                <w:lang w:val="en-US"/>
              </w:rPr>
              <w:t>)</w:t>
            </w:r>
          </w:p>
        </w:tc>
        <w:tc>
          <w:tcPr>
            <w:tcW w:w="1127"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n.s</w:t>
            </w:r>
            <w:proofErr w:type="spellEnd"/>
          </w:p>
        </w:tc>
      </w:tr>
      <w:tr w:rsidR="008A162F" w:rsidRPr="007F6D5B" w:rsidTr="007F2176">
        <w:trPr>
          <w:cantSplit/>
          <w:trHeight w:val="719"/>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vMerge w:val="restart"/>
            <w:textDirection w:val="btLr"/>
            <w:vAlign w:val="center"/>
          </w:tcPr>
          <w:p w:rsidR="008A162F" w:rsidRPr="007F6D5B" w:rsidRDefault="008A162F" w:rsidP="007F2176">
            <w:pPr>
              <w:ind w:left="113" w:right="113"/>
              <w:jc w:val="center"/>
              <w:rPr>
                <w:rFonts w:ascii="Arial" w:hAnsi="Arial" w:cs="Arial"/>
                <w:sz w:val="16"/>
                <w:szCs w:val="16"/>
                <w:lang w:val="en-US"/>
              </w:rPr>
            </w:pPr>
            <w:r w:rsidRPr="007F6D5B">
              <w:rPr>
                <w:rFonts w:ascii="Arial" w:hAnsi="Arial" w:cs="Arial"/>
                <w:sz w:val="16"/>
                <w:szCs w:val="16"/>
                <w:lang w:val="en-US"/>
              </w:rPr>
              <w:t xml:space="preserve">37 °C </w:t>
            </w:r>
            <w:r w:rsidRPr="007F6D5B">
              <w:rPr>
                <w:rFonts w:ascii="Arial" w:hAnsi="Arial" w:cs="Arial"/>
                <w:i/>
                <w:sz w:val="16"/>
                <w:szCs w:val="16"/>
                <w:lang w:val="en-US"/>
              </w:rPr>
              <w:t>in vitro</w:t>
            </w:r>
            <w:r w:rsidRPr="007F6D5B">
              <w:rPr>
                <w:rFonts w:ascii="Arial" w:hAnsi="Arial" w:cs="Arial"/>
                <w:sz w:val="16"/>
                <w:szCs w:val="16"/>
                <w:lang w:val="en-US"/>
              </w:rPr>
              <w:t xml:space="preserve"> vs.</w:t>
            </w:r>
          </w:p>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 xml:space="preserve">25 °C </w:t>
            </w:r>
            <w:r w:rsidRPr="007F6D5B">
              <w:rPr>
                <w:rFonts w:ascii="Arial" w:hAnsi="Arial" w:cs="Arial"/>
                <w:i/>
                <w:sz w:val="16"/>
                <w:szCs w:val="16"/>
                <w:lang w:val="en-US"/>
              </w:rPr>
              <w:t>in vitro</w:t>
            </w:r>
          </w:p>
        </w:tc>
        <w:tc>
          <w:tcPr>
            <w:tcW w:w="1127" w:type="pct"/>
            <w:vMerge w:val="restar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Growth phase</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stat</w:t>
            </w:r>
          </w:p>
        </w:tc>
        <w:tc>
          <w:tcPr>
            <w:tcW w:w="563" w:type="pct"/>
            <w:textDirection w:val="btLr"/>
            <w:vAlign w:val="center"/>
          </w:tcPr>
          <w:p w:rsidR="008A162F" w:rsidRPr="007F6D5B" w:rsidRDefault="008A162F" w:rsidP="007F2176">
            <w:pPr>
              <w:ind w:left="113" w:right="113"/>
              <w:jc w:val="center"/>
              <w:rPr>
                <w:rFonts w:ascii="Arial" w:hAnsi="Arial"/>
                <w:sz w:val="24"/>
                <w:lang w:val="en-US"/>
              </w:rPr>
            </w:pPr>
            <w:r w:rsidRPr="007F6D5B">
              <w:rPr>
                <w:rFonts w:ascii="Arial" w:hAnsi="Arial" w:cs="Arial"/>
                <w:sz w:val="16"/>
                <w:szCs w:val="16"/>
                <w:lang w:val="en-US"/>
              </w:rPr>
              <w:t>2.5</w:t>
            </w:r>
          </w:p>
        </w:tc>
      </w:tr>
      <w:tr w:rsidR="008A162F" w:rsidRPr="0015762B" w:rsidTr="007F2176">
        <w:trPr>
          <w:cantSplit/>
          <w:trHeight w:val="1134"/>
        </w:trPr>
        <w:tc>
          <w:tcPr>
            <w:tcW w:w="563" w:type="pct"/>
            <w:vMerge/>
            <w:vAlign w:val="center"/>
          </w:tcPr>
          <w:p w:rsidR="008A162F" w:rsidRPr="007F6D5B" w:rsidRDefault="008A162F" w:rsidP="007F2176">
            <w:pPr>
              <w:jc w:val="center"/>
              <w:rPr>
                <w:rFonts w:ascii="Arial" w:hAnsi="Arial"/>
                <w:sz w:val="24"/>
                <w:lang w:val="en-US"/>
              </w:rPr>
            </w:pPr>
          </w:p>
        </w:tc>
        <w:tc>
          <w:tcPr>
            <w:tcW w:w="563" w:type="pct"/>
            <w:vMerge/>
            <w:vAlign w:val="center"/>
          </w:tcPr>
          <w:p w:rsidR="008A162F" w:rsidRPr="007F6D5B" w:rsidRDefault="008A162F" w:rsidP="007F2176">
            <w:pPr>
              <w:jc w:val="center"/>
              <w:rPr>
                <w:rFonts w:ascii="Arial" w:hAnsi="Arial"/>
                <w:sz w:val="24"/>
                <w:lang w:val="en-US"/>
              </w:rPr>
            </w:pPr>
          </w:p>
        </w:tc>
        <w:tc>
          <w:tcPr>
            <w:tcW w:w="1621" w:type="pct"/>
            <w:gridSpan w:val="2"/>
            <w:vMerge/>
            <w:vAlign w:val="center"/>
          </w:tcPr>
          <w:p w:rsidR="008A162F" w:rsidRPr="007F6D5B" w:rsidRDefault="008A162F" w:rsidP="007F2176">
            <w:pPr>
              <w:jc w:val="center"/>
              <w:rPr>
                <w:rFonts w:ascii="Arial" w:hAnsi="Arial"/>
                <w:sz w:val="24"/>
                <w:lang w:val="en-US"/>
              </w:rPr>
            </w:pPr>
          </w:p>
        </w:tc>
        <w:tc>
          <w:tcPr>
            <w:tcW w:w="1127" w:type="pct"/>
            <w:vMerge/>
            <w:vAlign w:val="center"/>
          </w:tcPr>
          <w:p w:rsidR="008A162F" w:rsidRPr="007F6D5B" w:rsidRDefault="008A162F" w:rsidP="007F2176">
            <w:pPr>
              <w:jc w:val="center"/>
              <w:rPr>
                <w:rFonts w:ascii="Arial" w:hAnsi="Arial"/>
                <w:sz w:val="24"/>
                <w:lang w:val="en-US"/>
              </w:rPr>
            </w:pPr>
          </w:p>
        </w:tc>
        <w:tc>
          <w:tcPr>
            <w:tcW w:w="563" w:type="pct"/>
            <w:textDirection w:val="btLr"/>
            <w:vAlign w:val="center"/>
          </w:tcPr>
          <w:p w:rsidR="008A162F" w:rsidRPr="007F6D5B" w:rsidRDefault="008A162F" w:rsidP="007F2176">
            <w:pPr>
              <w:ind w:left="113" w:right="113"/>
              <w:jc w:val="center"/>
              <w:rPr>
                <w:rFonts w:ascii="Arial" w:hAnsi="Arial"/>
                <w:sz w:val="24"/>
                <w:lang w:val="en-US"/>
              </w:rPr>
            </w:pPr>
            <w:proofErr w:type="spellStart"/>
            <w:r w:rsidRPr="007F6D5B">
              <w:rPr>
                <w:rFonts w:ascii="Arial" w:hAnsi="Arial" w:cs="Arial"/>
                <w:sz w:val="16"/>
                <w:szCs w:val="16"/>
                <w:lang w:val="en-US"/>
              </w:rPr>
              <w:t>exp</w:t>
            </w:r>
            <w:proofErr w:type="spellEnd"/>
          </w:p>
        </w:tc>
        <w:tc>
          <w:tcPr>
            <w:tcW w:w="563" w:type="pct"/>
            <w:textDirection w:val="btLr"/>
            <w:vAlign w:val="center"/>
          </w:tcPr>
          <w:p w:rsidR="008A162F" w:rsidRPr="0015762B" w:rsidRDefault="008A162F" w:rsidP="007F2176">
            <w:pPr>
              <w:ind w:left="113" w:right="113"/>
              <w:jc w:val="center"/>
              <w:rPr>
                <w:rFonts w:ascii="Arial" w:hAnsi="Arial"/>
                <w:sz w:val="24"/>
                <w:lang w:val="en-US"/>
              </w:rPr>
            </w:pPr>
            <w:r w:rsidRPr="007F6D5B">
              <w:rPr>
                <w:rFonts w:ascii="Arial" w:hAnsi="Arial" w:cs="Arial"/>
                <w:sz w:val="16"/>
                <w:szCs w:val="16"/>
                <w:lang w:val="en-US"/>
              </w:rPr>
              <w:t>2.8</w:t>
            </w:r>
          </w:p>
        </w:tc>
      </w:tr>
    </w:tbl>
    <w:p w:rsidR="000A4ED3" w:rsidRDefault="000A4ED3"/>
    <w:sectPr w:rsidR="000A4E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FE"/>
    <w:rsid w:val="000A4ED3"/>
    <w:rsid w:val="00796FDF"/>
    <w:rsid w:val="008A162F"/>
    <w:rsid w:val="00A04F92"/>
    <w:rsid w:val="00F35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4093"/>
  <w15:chartTrackingRefBased/>
  <w15:docId w15:val="{DA45ECF0-BA57-43A2-BA43-7EB23F61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6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8A162F"/>
    <w:pPr>
      <w:spacing w:after="200" w:line="240" w:lineRule="auto"/>
      <w:jc w:val="both"/>
    </w:pPr>
    <w:rPr>
      <w:rFonts w:ascii="Arial" w:hAnsi="Arial"/>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10856</Characters>
  <Application>Microsoft Office Word</Application>
  <DocSecurity>0</DocSecurity>
  <Lines>90</Lines>
  <Paragraphs>25</Paragraphs>
  <ScaleCrop>false</ScaleCrop>
  <Company>Microsoft</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Twittenhoff, Christian</dc:creator>
  <cp:keywords/>
  <dc:description/>
  <cp:lastModifiedBy>Twittenhoff, Christian</cp:lastModifiedBy>
  <cp:revision>3</cp:revision>
  <dcterms:created xsi:type="dcterms:W3CDTF">2019-11-11T08:51:00Z</dcterms:created>
  <dcterms:modified xsi:type="dcterms:W3CDTF">2019-11-11T09:24:00Z</dcterms:modified>
</cp:coreProperties>
</file>