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DE" w:rsidRDefault="00865ADE" w:rsidP="00865ADE">
      <w:pPr>
        <w:rPr>
          <w:rFonts w:ascii="Arial" w:hAnsi="Arial"/>
        </w:rPr>
      </w:pPr>
      <w:r w:rsidRPr="004F3B0E">
        <w:rPr>
          <w:rFonts w:ascii="Arial" w:hAnsi="Arial"/>
          <w:b/>
        </w:rPr>
        <w:t>Table S4:</w:t>
      </w:r>
      <w:r>
        <w:rPr>
          <w:rFonts w:ascii="Arial" w:hAnsi="Arial"/>
        </w:rPr>
        <w:t xml:space="preserve"> Alignment statistics for the untransformed controls</w:t>
      </w:r>
    </w:p>
    <w:p w:rsidR="00865ADE" w:rsidRDefault="00865ADE" w:rsidP="00865ADE">
      <w:pPr>
        <w:rPr>
          <w:rFonts w:ascii="Arial" w:hAnsi="Arial"/>
        </w:rPr>
      </w:pPr>
    </w:p>
    <w:tbl>
      <w:tblPr>
        <w:tblW w:w="8760" w:type="dxa"/>
        <w:tblInd w:w="96" w:type="dxa"/>
        <w:tblLook w:val="0000"/>
      </w:tblPr>
      <w:tblGrid>
        <w:gridCol w:w="2800"/>
        <w:gridCol w:w="1192"/>
        <w:gridCol w:w="1192"/>
        <w:gridCol w:w="1192"/>
        <w:gridCol w:w="1192"/>
        <w:gridCol w:w="1192"/>
      </w:tblGrid>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Reads</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Hi375</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HiT</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MAP7</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RdS</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NPNN</w:t>
            </w:r>
          </w:p>
        </w:tc>
      </w:tr>
      <w:tr w:rsidR="00865ADE" w:rsidRPr="00542CCB">
        <w:trPr>
          <w:trHeight w:val="300"/>
        </w:trPr>
        <w:tc>
          <w:tcPr>
            <w:tcW w:w="2800"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Reference</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Hi375</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Hi375</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Rd KW20</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Rd KW20</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b/>
                <w:sz w:val="20"/>
              </w:rPr>
            </w:pPr>
            <w:r w:rsidRPr="00542CCB">
              <w:rPr>
                <w:rFonts w:ascii="Arial" w:hAnsi="Arial"/>
                <w:b/>
                <w:sz w:val="20"/>
              </w:rPr>
              <w:t>86-028NP</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Total positions</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1,850,897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1,850,897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1,830,138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1,830,138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1,914,490 </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vertAlign w:val="superscript"/>
              </w:rPr>
            </w:pPr>
            <w:r w:rsidRPr="00542CCB">
              <w:rPr>
                <w:rFonts w:ascii="Arial" w:hAnsi="Arial"/>
                <w:sz w:val="20"/>
              </w:rPr>
              <w:t>Ambiguous reference</w:t>
            </w:r>
            <w:r>
              <w:rPr>
                <w:rFonts w:ascii="Arial" w:hAnsi="Arial"/>
                <w:sz w:val="20"/>
                <w:vertAlign w:val="superscript"/>
              </w:rPr>
              <w:t>1</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w:t>
            </w:r>
            <w:proofErr w:type="gramStart"/>
            <w:r w:rsidRPr="00542CCB">
              <w:rPr>
                <w:rFonts w:ascii="Arial" w:hAnsi="Arial"/>
                <w:sz w:val="20"/>
              </w:rPr>
              <w:t xml:space="preserve">-   </w:t>
            </w:r>
            <w:proofErr w:type="gramEnd"/>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w:t>
            </w:r>
            <w:proofErr w:type="gramStart"/>
            <w:r w:rsidRPr="00542CCB">
              <w:rPr>
                <w:rFonts w:ascii="Arial" w:hAnsi="Arial"/>
                <w:sz w:val="20"/>
              </w:rPr>
              <w:t xml:space="preserve">-   </w:t>
            </w:r>
            <w:proofErr w:type="gramEnd"/>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115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115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w:t>
            </w:r>
            <w:proofErr w:type="gramStart"/>
            <w:r w:rsidRPr="00542CCB">
              <w:rPr>
                <w:rFonts w:ascii="Arial" w:hAnsi="Arial"/>
                <w:sz w:val="20"/>
              </w:rPr>
              <w:t xml:space="preserve">-   </w:t>
            </w:r>
            <w:proofErr w:type="gramEnd"/>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Depth=0</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22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55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116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182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 </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Depth&lt;10</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100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195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156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689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56 </w:t>
            </w:r>
          </w:p>
        </w:tc>
      </w:tr>
      <w:tr w:rsidR="00865ADE" w:rsidRPr="00542CCB">
        <w:trPr>
          <w:trHeight w:val="300"/>
        </w:trPr>
        <w:tc>
          <w:tcPr>
            <w:tcW w:w="2800"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Depth&lt;50</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233 </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545 </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261 </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783,986 </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20,256 </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vertAlign w:val="superscript"/>
              </w:rPr>
            </w:pPr>
            <w:r>
              <w:rPr>
                <w:rFonts w:ascii="Arial" w:hAnsi="Arial"/>
                <w:sz w:val="20"/>
              </w:rPr>
              <w:t>Filtered</w:t>
            </w:r>
            <w:r>
              <w:rPr>
                <w:rFonts w:ascii="Arial" w:hAnsi="Arial"/>
                <w:sz w:val="20"/>
                <w:vertAlign w:val="superscript"/>
              </w:rPr>
              <w:t>2</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1,850,797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1,850,702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1,829,867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1,829,334 </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xml:space="preserve"> 1,914,434 </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vertAlign w:val="superscript"/>
              </w:rPr>
            </w:pPr>
            <w:r w:rsidRPr="00542CCB">
              <w:rPr>
                <w:rFonts w:ascii="Arial" w:hAnsi="Arial"/>
                <w:sz w:val="20"/>
              </w:rPr>
              <w:t>% Invariant</w:t>
            </w:r>
            <w:r>
              <w:rPr>
                <w:rFonts w:ascii="Arial" w:hAnsi="Arial"/>
                <w:sz w:val="20"/>
                <w:vertAlign w:val="superscript"/>
              </w:rPr>
              <w:t>3</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54.4%</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92.0%</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61.6%</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97.6%</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92.5%</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Mean Depth</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652.2</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227.5</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822.9</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49.0</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107.6</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Mean Limit-of-detection (1/depth)</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1.53E-03</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4.40E-03</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1.22E-03</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2.04E-02</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9.30E-03</w:t>
            </w:r>
          </w:p>
        </w:tc>
      </w:tr>
      <w:tr w:rsidR="00865ADE" w:rsidRPr="00542CCB">
        <w:trPr>
          <w:trHeight w:val="300"/>
        </w:trPr>
        <w:tc>
          <w:tcPr>
            <w:tcW w:w="2800"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Mean VarFreq</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1.12E-03</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3.92E-04</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7.89E-04</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6.45E-04</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7.21E-04</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vertAlign w:val="superscript"/>
              </w:rPr>
            </w:pPr>
            <w:r w:rsidRPr="00542CCB">
              <w:rPr>
                <w:rFonts w:ascii="Arial" w:hAnsi="Arial"/>
                <w:sz w:val="20"/>
              </w:rPr>
              <w:t>Strand-biased positions</w:t>
            </w:r>
            <w:r>
              <w:rPr>
                <w:rFonts w:ascii="Arial" w:hAnsi="Arial"/>
                <w:sz w:val="20"/>
                <w:vertAlign w:val="superscript"/>
              </w:rPr>
              <w:t>4</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4001</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657</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2811</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175</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643</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Unbiased Mean VarFreq</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1.12E-03</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3.89E-04</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7.84E-04</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6.45E-04</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7.14E-04</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Biased Mean VarFreq</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3.60E-03</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9.36E-03</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4.11E-03</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2.28E-03</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2.16E-02</w:t>
            </w:r>
          </w:p>
        </w:tc>
      </w:tr>
      <w:tr w:rsidR="00865ADE" w:rsidRPr="00542CCB">
        <w:trPr>
          <w:trHeight w:val="300"/>
        </w:trPr>
        <w:tc>
          <w:tcPr>
            <w:tcW w:w="2800"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Unbiased with VarFreq &gt;0.01</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0.29%</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0.17%</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0.11%</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2.37%</w:t>
            </w:r>
          </w:p>
        </w:tc>
        <w:tc>
          <w:tcPr>
            <w:tcW w:w="1192" w:type="dxa"/>
            <w:tcBorders>
              <w:top w:val="nil"/>
              <w:left w:val="nil"/>
              <w:bottom w:val="nil"/>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2.02%</w:t>
            </w:r>
          </w:p>
        </w:tc>
      </w:tr>
      <w:tr w:rsidR="00865ADE" w:rsidRPr="00542CCB">
        <w:trPr>
          <w:trHeight w:val="300"/>
        </w:trPr>
        <w:tc>
          <w:tcPr>
            <w:tcW w:w="2800"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 Biased with VarFreq &gt;0.01</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6.20%</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17.66%</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6.79%</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3.43%</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29.86%</w:t>
            </w:r>
          </w:p>
        </w:tc>
      </w:tr>
      <w:tr w:rsidR="00865ADE" w:rsidRPr="00542CCB">
        <w:trPr>
          <w:trHeight w:val="300"/>
        </w:trPr>
        <w:tc>
          <w:tcPr>
            <w:tcW w:w="2800" w:type="dxa"/>
            <w:tcBorders>
              <w:top w:val="nil"/>
              <w:left w:val="nil"/>
              <w:bottom w:val="single" w:sz="4" w:space="0" w:color="auto"/>
              <w:right w:val="nil"/>
            </w:tcBorders>
            <w:shd w:val="clear" w:color="auto" w:fill="auto"/>
            <w:noWrap/>
            <w:vAlign w:val="center"/>
          </w:tcPr>
          <w:p w:rsidR="00865ADE" w:rsidRPr="004F3B0E" w:rsidRDefault="00865ADE" w:rsidP="005053C9">
            <w:pPr>
              <w:jc w:val="right"/>
              <w:rPr>
                <w:rFonts w:ascii="Arial" w:hAnsi="Arial"/>
                <w:sz w:val="20"/>
                <w:vertAlign w:val="superscript"/>
              </w:rPr>
            </w:pPr>
            <w:r w:rsidRPr="00542CCB">
              <w:rPr>
                <w:rFonts w:ascii="Arial" w:hAnsi="Arial"/>
                <w:sz w:val="20"/>
              </w:rPr>
              <w:t>Detected variants (VarFreq &gt;</w:t>
            </w:r>
            <w:proofErr w:type="gramStart"/>
            <w:r w:rsidRPr="00542CCB">
              <w:rPr>
                <w:rFonts w:ascii="Arial" w:hAnsi="Arial"/>
                <w:sz w:val="20"/>
              </w:rPr>
              <w:t>0.9</w:t>
            </w:r>
            <w:r>
              <w:rPr>
                <w:rFonts w:ascii="Arial" w:hAnsi="Arial"/>
                <w:sz w:val="20"/>
              </w:rPr>
              <w:t>5</w:t>
            </w:r>
            <w:r w:rsidRPr="00542CCB">
              <w:rPr>
                <w:rFonts w:ascii="Arial" w:hAnsi="Arial"/>
                <w:sz w:val="20"/>
              </w:rPr>
              <w:t>)</w:t>
            </w:r>
            <w:r>
              <w:rPr>
                <w:rFonts w:ascii="Arial" w:hAnsi="Arial"/>
                <w:sz w:val="20"/>
                <w:vertAlign w:val="superscript"/>
              </w:rPr>
              <w:t>5</w:t>
            </w:r>
            <w:proofErr w:type="gramEnd"/>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0</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8</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326</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292</w:t>
            </w:r>
          </w:p>
        </w:tc>
        <w:tc>
          <w:tcPr>
            <w:tcW w:w="1192" w:type="dxa"/>
            <w:tcBorders>
              <w:top w:val="nil"/>
              <w:left w:val="nil"/>
              <w:bottom w:val="single" w:sz="4" w:space="0" w:color="auto"/>
              <w:right w:val="nil"/>
            </w:tcBorders>
            <w:shd w:val="clear" w:color="auto" w:fill="auto"/>
            <w:noWrap/>
            <w:vAlign w:val="center"/>
          </w:tcPr>
          <w:p w:rsidR="00865ADE" w:rsidRPr="00542CCB" w:rsidRDefault="00865ADE" w:rsidP="005053C9">
            <w:pPr>
              <w:jc w:val="right"/>
              <w:rPr>
                <w:rFonts w:ascii="Arial" w:hAnsi="Arial"/>
                <w:sz w:val="20"/>
              </w:rPr>
            </w:pPr>
            <w:r w:rsidRPr="00542CCB">
              <w:rPr>
                <w:rFonts w:ascii="Arial" w:hAnsi="Arial"/>
                <w:sz w:val="20"/>
              </w:rPr>
              <w:t>48</w:t>
            </w:r>
          </w:p>
        </w:tc>
      </w:tr>
    </w:tbl>
    <w:p w:rsidR="00865ADE" w:rsidRPr="00865ADE" w:rsidRDefault="00865ADE" w:rsidP="00E86F6C">
      <w:pPr>
        <w:jc w:val="both"/>
        <w:rPr>
          <w:rFonts w:ascii="Arial" w:hAnsi="Arial"/>
        </w:rPr>
      </w:pPr>
      <w:r w:rsidRPr="00865ADE">
        <w:rPr>
          <w:rFonts w:ascii="Arial" w:hAnsi="Arial"/>
          <w:vertAlign w:val="superscript"/>
        </w:rPr>
        <w:t xml:space="preserve">1 </w:t>
      </w:r>
      <w:r w:rsidRPr="00865ADE">
        <w:rPr>
          <w:rFonts w:ascii="Arial" w:hAnsi="Arial"/>
        </w:rPr>
        <w:t>In the Rd KW20 genome, 115 positions have a non-ACGT base identity.</w:t>
      </w:r>
    </w:p>
    <w:p w:rsidR="00865ADE" w:rsidRPr="00865ADE" w:rsidRDefault="00865ADE" w:rsidP="00E86F6C">
      <w:pPr>
        <w:jc w:val="both"/>
        <w:rPr>
          <w:rFonts w:ascii="Arial" w:hAnsi="Arial"/>
        </w:rPr>
      </w:pPr>
      <w:r w:rsidRPr="00865ADE">
        <w:rPr>
          <w:rFonts w:ascii="Arial" w:hAnsi="Arial"/>
          <w:vertAlign w:val="superscript"/>
        </w:rPr>
        <w:t xml:space="preserve">2 </w:t>
      </w:r>
      <w:r w:rsidRPr="00865ADE">
        <w:rPr>
          <w:rFonts w:ascii="Arial" w:hAnsi="Arial"/>
        </w:rPr>
        <w:t>Positions with reference base ACGT that have at least 10 reads aligned; remaining statistics refer to this set of filtered bases.</w:t>
      </w:r>
    </w:p>
    <w:p w:rsidR="00865ADE" w:rsidRPr="00865ADE" w:rsidRDefault="00865ADE" w:rsidP="00E86F6C">
      <w:pPr>
        <w:jc w:val="both"/>
        <w:rPr>
          <w:rFonts w:ascii="Arial" w:hAnsi="Arial"/>
        </w:rPr>
      </w:pPr>
      <w:r w:rsidRPr="00865ADE">
        <w:rPr>
          <w:rFonts w:ascii="Arial" w:hAnsi="Arial"/>
          <w:vertAlign w:val="superscript"/>
        </w:rPr>
        <w:t>3</w:t>
      </w:r>
      <w:r w:rsidRPr="00865ADE">
        <w:rPr>
          <w:rFonts w:ascii="Arial" w:hAnsi="Arial"/>
        </w:rPr>
        <w:t xml:space="preserve"> % of positions for which no non-reference bases were detected (VarFreq=0)</w:t>
      </w:r>
    </w:p>
    <w:p w:rsidR="00865ADE" w:rsidRPr="00865ADE" w:rsidRDefault="00865ADE" w:rsidP="00E86F6C">
      <w:pPr>
        <w:jc w:val="both"/>
        <w:rPr>
          <w:rFonts w:ascii="Arial" w:hAnsi="Arial"/>
        </w:rPr>
      </w:pPr>
      <w:r w:rsidRPr="00865ADE">
        <w:rPr>
          <w:rFonts w:ascii="Arial" w:hAnsi="Arial"/>
          <w:vertAlign w:val="superscript"/>
        </w:rPr>
        <w:t>4</w:t>
      </w:r>
      <w:r w:rsidRPr="00865ADE">
        <w:rPr>
          <w:rFonts w:ascii="Arial" w:hAnsi="Arial"/>
        </w:rPr>
        <w:t xml:space="preserve"> Number of positions with evidence of strand-specific sequencing errors, as determined by Fisher’s exact test for strand bias between reference and alternate alleles with p-value &lt;0.05.</w:t>
      </w:r>
    </w:p>
    <w:p w:rsidR="00865ADE" w:rsidRPr="00865ADE" w:rsidRDefault="00865ADE" w:rsidP="00E86F6C">
      <w:pPr>
        <w:jc w:val="both"/>
        <w:rPr>
          <w:rFonts w:ascii="Arial" w:hAnsi="Arial"/>
        </w:rPr>
      </w:pPr>
      <w:r w:rsidRPr="00865ADE">
        <w:rPr>
          <w:rFonts w:ascii="Arial" w:hAnsi="Arial"/>
          <w:vertAlign w:val="superscript"/>
        </w:rPr>
        <w:t>5</w:t>
      </w:r>
      <w:r w:rsidRPr="00865ADE">
        <w:rPr>
          <w:rFonts w:ascii="Arial" w:hAnsi="Arial"/>
        </w:rPr>
        <w:t xml:space="preserve"> Among positions with no strand bias, these positions represent single-nucleotide variants between strains and reference sequences. All variants can be accounted for as due to the introduction of the antibiotic resistance alleles or due to errors in the sequence reference (in the case of Rd KW20).</w:t>
      </w:r>
    </w:p>
    <w:p w:rsidR="00D5582E" w:rsidRPr="00865ADE" w:rsidRDefault="00E86F6C" w:rsidP="00865ADE">
      <w:pPr>
        <w:rPr>
          <w:rFonts w:ascii="Arial" w:hAnsi="Arial"/>
        </w:rPr>
      </w:pPr>
    </w:p>
    <w:sectPr w:rsidR="00D5582E" w:rsidRPr="00865ADE" w:rsidSect="00D5582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5ADE"/>
    <w:rsid w:val="00865ADE"/>
    <w:rsid w:val="00E80B88"/>
    <w:rsid w:val="00E86F6C"/>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Macintosh Word</Application>
  <DocSecurity>0</DocSecurity>
  <Lines>12</Lines>
  <Paragraphs>2</Paragraphs>
  <ScaleCrop>false</ScaleCrop>
  <Company>UBC</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Mell</dc:creator>
  <cp:keywords/>
  <cp:lastModifiedBy>Joshua Mell</cp:lastModifiedBy>
  <cp:revision>2</cp:revision>
  <dcterms:created xsi:type="dcterms:W3CDTF">2016-04-05T21:52:00Z</dcterms:created>
  <dcterms:modified xsi:type="dcterms:W3CDTF">2016-04-12T18:28:00Z</dcterms:modified>
</cp:coreProperties>
</file>