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29" w:rsidRDefault="003A43F0" w:rsidP="006C4429">
      <w:pPr>
        <w:spacing w:after="0" w:line="48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S</w:t>
      </w:r>
      <w:r w:rsidRPr="00D62521">
        <w:rPr>
          <w:rFonts w:cs="Times New Roman"/>
          <w:b/>
          <w:sz w:val="26"/>
          <w:szCs w:val="26"/>
        </w:rPr>
        <w:t>2</w:t>
      </w:r>
      <w:r>
        <w:rPr>
          <w:rFonts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6C4429" w:rsidRPr="00D62521">
        <w:rPr>
          <w:rFonts w:cs="Times New Roman"/>
          <w:b/>
          <w:sz w:val="26"/>
          <w:szCs w:val="26"/>
        </w:rPr>
        <w:t xml:space="preserve">Table. </w:t>
      </w:r>
    </w:p>
    <w:p w:rsidR="006C4429" w:rsidRPr="00D62521" w:rsidRDefault="006C4429" w:rsidP="006C4429">
      <w:pPr>
        <w:spacing w:after="0" w:line="360" w:lineRule="auto"/>
        <w:jc w:val="both"/>
        <w:rPr>
          <w:rFonts w:cs="Times New Roman"/>
          <w:b/>
          <w:sz w:val="26"/>
          <w:szCs w:val="26"/>
        </w:rPr>
      </w:pPr>
      <w:r w:rsidRPr="00D62521">
        <w:rPr>
          <w:rFonts w:cs="Times New Roman"/>
          <w:b/>
          <w:sz w:val="26"/>
          <w:szCs w:val="26"/>
        </w:rPr>
        <w:t xml:space="preserve">Intra-individual variation in CD4+ T cell proliferation to heat-killed </w:t>
      </w:r>
      <w:r w:rsidRPr="00D62521">
        <w:rPr>
          <w:rFonts w:cs="Times New Roman"/>
          <w:b/>
          <w:i/>
          <w:sz w:val="26"/>
          <w:szCs w:val="26"/>
        </w:rPr>
        <w:t xml:space="preserve">Staphylococcus aureus </w:t>
      </w:r>
      <w:r w:rsidRPr="00D62521">
        <w:rPr>
          <w:rFonts w:cs="Times New Roman"/>
          <w:b/>
          <w:sz w:val="26"/>
          <w:szCs w:val="26"/>
        </w:rPr>
        <w:t>strains</w:t>
      </w:r>
    </w:p>
    <w:tbl>
      <w:tblPr>
        <w:tblStyle w:val="LightShading"/>
        <w:tblW w:w="9322" w:type="dxa"/>
        <w:tblBorders>
          <w:left w:val="single" w:sz="8" w:space="0" w:color="000000" w:themeColor="text1"/>
          <w:right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9"/>
        <w:gridCol w:w="1131"/>
        <w:gridCol w:w="201"/>
        <w:gridCol w:w="1358"/>
        <w:gridCol w:w="1418"/>
        <w:gridCol w:w="1417"/>
        <w:gridCol w:w="1134"/>
      </w:tblGrid>
      <w:tr w:rsidR="006C4429" w:rsidRPr="00D62521" w:rsidTr="002E5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8" w:space="0" w:color="000000" w:themeColor="text1"/>
              <w:bottom w:val="nil"/>
            </w:tcBorders>
            <w:shd w:val="clear" w:color="auto" w:fill="A6A6A6" w:themeFill="background1" w:themeFillShade="A6"/>
          </w:tcPr>
          <w:p w:rsidR="006C4429" w:rsidRPr="00D62521" w:rsidRDefault="006C4429" w:rsidP="006C4429">
            <w:pPr>
              <w:spacing w:before="240" w:line="360" w:lineRule="auto"/>
              <w:jc w:val="both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Patient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6A6A6" w:themeFill="background1" w:themeFillShade="A6"/>
          </w:tcPr>
          <w:p w:rsidR="006C4429" w:rsidRPr="00D62521" w:rsidRDefault="006C4429" w:rsidP="006C4429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PS80</w:t>
            </w:r>
          </w:p>
        </w:tc>
        <w:tc>
          <w:tcPr>
            <w:tcW w:w="1131" w:type="dxa"/>
            <w:tcBorders>
              <w:bottom w:val="nil"/>
            </w:tcBorders>
            <w:shd w:val="clear" w:color="auto" w:fill="A6A6A6" w:themeFill="background1" w:themeFillShade="A6"/>
          </w:tcPr>
          <w:p w:rsidR="006C4429" w:rsidRPr="00D62521" w:rsidRDefault="006C4429" w:rsidP="006C4429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SH1000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:rsidR="006C4429" w:rsidRPr="00D62521" w:rsidRDefault="006C4429" w:rsidP="006C4429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SJH.MSSA-1</w:t>
            </w:r>
            <w:r w:rsidRPr="00D62521">
              <w:rPr>
                <w:rFonts w:cs="Times New Roman"/>
                <w:szCs w:val="26"/>
                <w:vertAlign w:val="superscript"/>
              </w:rPr>
              <w:t xml:space="preserve"> A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6A6A6" w:themeFill="background1" w:themeFillShade="A6"/>
          </w:tcPr>
          <w:p w:rsidR="006C4429" w:rsidRPr="00D62521" w:rsidRDefault="006C4429" w:rsidP="006C4429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SJH.MRSA-1</w:t>
            </w:r>
            <w:r w:rsidRPr="00D62521">
              <w:rPr>
                <w:rFonts w:cs="Times New Roman"/>
                <w:szCs w:val="26"/>
                <w:vertAlign w:val="superscript"/>
              </w:rPr>
              <w:t>B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6A6A6" w:themeFill="background1" w:themeFillShade="A6"/>
          </w:tcPr>
          <w:p w:rsidR="006C4429" w:rsidRPr="00D62521" w:rsidRDefault="006C4429" w:rsidP="006C4429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D62521">
              <w:rPr>
                <w:rFonts w:cs="Times New Roman"/>
                <w:sz w:val="21"/>
                <w:szCs w:val="21"/>
              </w:rPr>
              <w:t>Endogenous</w:t>
            </w:r>
          </w:p>
        </w:tc>
        <w:tc>
          <w:tcPr>
            <w:tcW w:w="1134" w:type="dxa"/>
            <w:tcBorders>
              <w:bottom w:val="nil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:rsidR="006C4429" w:rsidRPr="00D62521" w:rsidRDefault="006C4429" w:rsidP="006C4429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i/>
                <w:szCs w:val="26"/>
              </w:rPr>
              <w:t>p</w:t>
            </w:r>
            <w:r w:rsidRPr="00D62521">
              <w:rPr>
                <w:rFonts w:cs="Times New Roman"/>
                <w:szCs w:val="26"/>
              </w:rPr>
              <w:t>-value</w:t>
            </w:r>
            <w:r w:rsidRPr="00D62521">
              <w:rPr>
                <w:rFonts w:cs="Times New Roman"/>
                <w:szCs w:val="26"/>
                <w:vertAlign w:val="superscript"/>
              </w:rPr>
              <w:t>C</w:t>
            </w:r>
          </w:p>
        </w:tc>
      </w:tr>
      <w:tr w:rsidR="006C4429" w:rsidRPr="00D62521" w:rsidTr="002E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D9D9D9" w:themeFill="background1" w:themeFillShade="D9"/>
          </w:tcPr>
          <w:p w:rsidR="006C4429" w:rsidRPr="00D62521" w:rsidRDefault="006C4429" w:rsidP="006C4429">
            <w:pPr>
              <w:spacing w:before="240" w:line="360" w:lineRule="auto"/>
              <w:jc w:val="both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i/>
                <w:szCs w:val="26"/>
              </w:rPr>
              <w:t>S. aureus</w:t>
            </w:r>
            <w:r w:rsidRPr="00D62521">
              <w:rPr>
                <w:rFonts w:cs="Times New Roman"/>
                <w:szCs w:val="26"/>
              </w:rPr>
              <w:t xml:space="preserve"> BSI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429" w:rsidRPr="00D62521" w:rsidRDefault="006C4429" w:rsidP="006C4429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6"/>
              </w:rPr>
            </w:pPr>
            <w:r w:rsidRPr="00D62521">
              <w:rPr>
                <w:rFonts w:cs="Times New Roman"/>
                <w:b/>
                <w:szCs w:val="26"/>
              </w:rPr>
              <w:t>(%)</w:t>
            </w:r>
          </w:p>
        </w:tc>
        <w:tc>
          <w:tcPr>
            <w:tcW w:w="133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429" w:rsidRPr="00D62521" w:rsidRDefault="006C4429" w:rsidP="006C4429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6"/>
              </w:rPr>
            </w:pPr>
            <w:r w:rsidRPr="00D62521">
              <w:rPr>
                <w:rFonts w:cs="Times New Roman"/>
                <w:b/>
                <w:szCs w:val="26"/>
              </w:rPr>
              <w:t>(%)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429" w:rsidRPr="00D62521" w:rsidRDefault="006C4429" w:rsidP="006C4429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6"/>
              </w:rPr>
            </w:pPr>
            <w:r w:rsidRPr="00D62521">
              <w:rPr>
                <w:rFonts w:cs="Times New Roman"/>
                <w:b/>
                <w:szCs w:val="26"/>
              </w:rPr>
              <w:t>(%)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429" w:rsidRPr="00D62521" w:rsidRDefault="006C4429" w:rsidP="006C4429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6"/>
              </w:rPr>
            </w:pPr>
            <w:r w:rsidRPr="00D62521">
              <w:rPr>
                <w:rFonts w:cs="Times New Roman"/>
                <w:b/>
                <w:szCs w:val="26"/>
              </w:rPr>
              <w:t>(%)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429" w:rsidRPr="00D62521" w:rsidRDefault="006C4429" w:rsidP="006C4429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6C4429" w:rsidRPr="00D62521" w:rsidRDefault="006C4429" w:rsidP="006C4429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6"/>
              </w:rPr>
            </w:pPr>
          </w:p>
        </w:tc>
      </w:tr>
      <w:tr w:rsidR="006C4429" w:rsidRPr="00D62521" w:rsidTr="002E5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before="120" w:line="360" w:lineRule="auto"/>
              <w:jc w:val="both"/>
              <w:rPr>
                <w:rFonts w:cs="Times New Roman"/>
                <w:b w:val="0"/>
                <w:szCs w:val="26"/>
              </w:rPr>
            </w:pPr>
            <w:r w:rsidRPr="00D62521">
              <w:rPr>
                <w:rFonts w:cs="Times New Roman"/>
                <w:b w:val="0"/>
                <w:szCs w:val="26"/>
              </w:rPr>
              <w:t>SA-02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38.4</w:t>
            </w:r>
          </w:p>
        </w:tc>
        <w:tc>
          <w:tcPr>
            <w:tcW w:w="13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18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18</w:t>
            </w:r>
            <w:r w:rsidRPr="00D62521">
              <w:rPr>
                <w:rFonts w:cs="Times New Roman"/>
                <w:szCs w:val="26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0.39</w:t>
            </w:r>
          </w:p>
        </w:tc>
      </w:tr>
      <w:tr w:rsidR="006C4429" w:rsidRPr="00D62521" w:rsidTr="002E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both"/>
              <w:rPr>
                <w:rFonts w:cs="Times New Roman"/>
                <w:b w:val="0"/>
                <w:szCs w:val="26"/>
              </w:rPr>
            </w:pPr>
            <w:r w:rsidRPr="00D62521">
              <w:rPr>
                <w:rFonts w:cs="Times New Roman"/>
                <w:b w:val="0"/>
                <w:szCs w:val="26"/>
              </w:rPr>
              <w:t>SA-03</w:t>
            </w:r>
            <w:r w:rsidRPr="00D62521">
              <w:rPr>
                <w:rFonts w:cs="Times New Roman"/>
                <w:b w:val="0"/>
                <w:szCs w:val="26"/>
                <w:vertAlign w:val="superscript"/>
              </w:rPr>
              <w:t>1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69.5</w:t>
            </w:r>
          </w:p>
        </w:tc>
        <w:tc>
          <w:tcPr>
            <w:tcW w:w="13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40.5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82.3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0.37</w:t>
            </w:r>
          </w:p>
        </w:tc>
      </w:tr>
      <w:tr w:rsidR="006C4429" w:rsidRPr="00D62521" w:rsidTr="002E5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both"/>
              <w:rPr>
                <w:rFonts w:cs="Times New Roman"/>
                <w:b w:val="0"/>
                <w:szCs w:val="26"/>
              </w:rPr>
            </w:pPr>
            <w:r w:rsidRPr="00D62521">
              <w:rPr>
                <w:rFonts w:cs="Times New Roman"/>
                <w:b w:val="0"/>
                <w:szCs w:val="26"/>
              </w:rPr>
              <w:t>SA-03</w:t>
            </w:r>
            <w:r w:rsidRPr="00D62521">
              <w:rPr>
                <w:rFonts w:cs="Times New Roman"/>
                <w:b w:val="0"/>
                <w:szCs w:val="26"/>
                <w:vertAlign w:val="superscript"/>
              </w:rPr>
              <w:t>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9.3</w:t>
            </w:r>
          </w:p>
        </w:tc>
        <w:tc>
          <w:tcPr>
            <w:tcW w:w="13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3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8.1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8.5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0.41</w:t>
            </w:r>
          </w:p>
        </w:tc>
      </w:tr>
      <w:tr w:rsidR="006C4429" w:rsidRPr="00D62521" w:rsidTr="002E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both"/>
              <w:rPr>
                <w:rFonts w:cs="Times New Roman"/>
                <w:b w:val="0"/>
                <w:szCs w:val="26"/>
              </w:rPr>
            </w:pPr>
            <w:r w:rsidRPr="00D62521">
              <w:rPr>
                <w:rFonts w:cs="Times New Roman"/>
                <w:b w:val="0"/>
                <w:szCs w:val="26"/>
              </w:rPr>
              <w:t>SA-04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38.8</w:t>
            </w:r>
          </w:p>
        </w:tc>
        <w:tc>
          <w:tcPr>
            <w:tcW w:w="13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43.3</w:t>
            </w:r>
            <w:r w:rsidRPr="00D62521">
              <w:rPr>
                <w:rFonts w:cs="Times New Roman"/>
                <w:szCs w:val="26"/>
                <w:vertAlign w:val="superscript"/>
              </w:rPr>
              <w:t>B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43.3</w:t>
            </w:r>
            <w:r w:rsidRPr="00D62521">
              <w:rPr>
                <w:rFonts w:cs="Times New Roman"/>
                <w:szCs w:val="2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0.39</w:t>
            </w:r>
          </w:p>
        </w:tc>
      </w:tr>
      <w:tr w:rsidR="006C4429" w:rsidRPr="00D62521" w:rsidTr="002E5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both"/>
              <w:rPr>
                <w:rFonts w:cs="Times New Roman"/>
                <w:b w:val="0"/>
                <w:szCs w:val="26"/>
              </w:rPr>
            </w:pPr>
            <w:r w:rsidRPr="00D62521">
              <w:rPr>
                <w:rFonts w:cs="Times New Roman"/>
                <w:b w:val="0"/>
                <w:szCs w:val="26"/>
              </w:rPr>
              <w:t>SA-05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24.3</w:t>
            </w:r>
          </w:p>
        </w:tc>
        <w:tc>
          <w:tcPr>
            <w:tcW w:w="13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26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21.2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25.9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30.5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0.41</w:t>
            </w:r>
          </w:p>
        </w:tc>
      </w:tr>
      <w:tr w:rsidR="006C4429" w:rsidRPr="00D62521" w:rsidTr="002E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both"/>
              <w:rPr>
                <w:rFonts w:cs="Times New Roman"/>
                <w:b w:val="0"/>
                <w:szCs w:val="26"/>
              </w:rPr>
            </w:pPr>
            <w:r w:rsidRPr="00D62521">
              <w:rPr>
                <w:rFonts w:cs="Times New Roman"/>
                <w:b w:val="0"/>
                <w:szCs w:val="26"/>
              </w:rPr>
              <w:t>SA-06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5.2</w:t>
            </w:r>
          </w:p>
        </w:tc>
        <w:tc>
          <w:tcPr>
            <w:tcW w:w="13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0.6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0.41</w:t>
            </w:r>
          </w:p>
        </w:tc>
      </w:tr>
      <w:tr w:rsidR="006C4429" w:rsidRPr="00D62521" w:rsidTr="002E5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both"/>
              <w:rPr>
                <w:rFonts w:cs="Times New Roman"/>
                <w:b w:val="0"/>
                <w:szCs w:val="26"/>
              </w:rPr>
            </w:pPr>
            <w:r w:rsidRPr="00D62521">
              <w:rPr>
                <w:rFonts w:cs="Times New Roman"/>
                <w:b w:val="0"/>
                <w:szCs w:val="26"/>
              </w:rPr>
              <w:t>SA-07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47.7</w:t>
            </w:r>
          </w:p>
        </w:tc>
        <w:tc>
          <w:tcPr>
            <w:tcW w:w="13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6.9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8.9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18.1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0.41</w:t>
            </w:r>
          </w:p>
        </w:tc>
      </w:tr>
      <w:tr w:rsidR="006C4429" w:rsidRPr="00D62521" w:rsidTr="002E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both"/>
              <w:rPr>
                <w:rFonts w:cs="Times New Roman"/>
                <w:b w:val="0"/>
                <w:szCs w:val="26"/>
              </w:rPr>
            </w:pPr>
            <w:r w:rsidRPr="00D62521">
              <w:rPr>
                <w:rFonts w:cs="Times New Roman"/>
                <w:b w:val="0"/>
                <w:szCs w:val="26"/>
              </w:rPr>
              <w:t>SA-08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8</w:t>
            </w:r>
          </w:p>
        </w:tc>
        <w:tc>
          <w:tcPr>
            <w:tcW w:w="13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12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27.6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32.5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8.1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0.41</w:t>
            </w:r>
          </w:p>
        </w:tc>
      </w:tr>
      <w:tr w:rsidR="006C4429" w:rsidRPr="00D62521" w:rsidTr="002E5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both"/>
              <w:rPr>
                <w:rFonts w:cs="Times New Roman"/>
                <w:b w:val="0"/>
                <w:szCs w:val="26"/>
              </w:rPr>
            </w:pPr>
            <w:r w:rsidRPr="00D62521">
              <w:rPr>
                <w:rFonts w:cs="Times New Roman"/>
                <w:b w:val="0"/>
                <w:szCs w:val="26"/>
              </w:rPr>
              <w:t>SA-11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8.5</w:t>
            </w:r>
          </w:p>
        </w:tc>
        <w:tc>
          <w:tcPr>
            <w:tcW w:w="13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4.2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3.9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4.3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2.7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0.41</w:t>
            </w:r>
          </w:p>
        </w:tc>
      </w:tr>
      <w:tr w:rsidR="006C4429" w:rsidRPr="00D62521" w:rsidTr="002E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both"/>
              <w:rPr>
                <w:rFonts w:cs="Times New Roman"/>
                <w:b w:val="0"/>
                <w:szCs w:val="26"/>
              </w:rPr>
            </w:pPr>
            <w:r w:rsidRPr="00D62521">
              <w:rPr>
                <w:rFonts w:cs="Times New Roman"/>
                <w:b w:val="0"/>
                <w:szCs w:val="26"/>
              </w:rPr>
              <w:t>SA-13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23.5</w:t>
            </w:r>
          </w:p>
        </w:tc>
        <w:tc>
          <w:tcPr>
            <w:tcW w:w="13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13.5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9.8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4.8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7.1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0.41</w:t>
            </w:r>
          </w:p>
        </w:tc>
      </w:tr>
      <w:tr w:rsidR="006C4429" w:rsidRPr="00D62521" w:rsidTr="002E5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both"/>
              <w:rPr>
                <w:rFonts w:cs="Times New Roman"/>
                <w:b w:val="0"/>
                <w:szCs w:val="26"/>
              </w:rPr>
            </w:pPr>
            <w:r w:rsidRPr="00D62521">
              <w:rPr>
                <w:rFonts w:cs="Times New Roman"/>
                <w:b w:val="0"/>
                <w:szCs w:val="26"/>
              </w:rPr>
              <w:t>SA-14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5.9</w:t>
            </w:r>
          </w:p>
        </w:tc>
        <w:tc>
          <w:tcPr>
            <w:tcW w:w="13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3.4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19.4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20.3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9.7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0.41</w:t>
            </w:r>
          </w:p>
        </w:tc>
      </w:tr>
      <w:tr w:rsidR="006C4429" w:rsidRPr="00D62521" w:rsidTr="002E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both"/>
              <w:rPr>
                <w:rFonts w:cs="Times New Roman"/>
                <w:b w:val="0"/>
                <w:szCs w:val="26"/>
              </w:rPr>
            </w:pPr>
            <w:r w:rsidRPr="00D62521">
              <w:rPr>
                <w:rFonts w:cs="Times New Roman"/>
                <w:b w:val="0"/>
                <w:szCs w:val="26"/>
              </w:rPr>
              <w:t>SA-17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3.5</w:t>
            </w:r>
          </w:p>
        </w:tc>
        <w:tc>
          <w:tcPr>
            <w:tcW w:w="13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1.5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3.1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3.3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4.2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0.41</w:t>
            </w:r>
          </w:p>
        </w:tc>
      </w:tr>
      <w:tr w:rsidR="006C4429" w:rsidRPr="00D62521" w:rsidTr="002E5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both"/>
              <w:rPr>
                <w:rFonts w:cs="Times New Roman"/>
                <w:b w:val="0"/>
                <w:szCs w:val="26"/>
              </w:rPr>
            </w:pPr>
            <w:r w:rsidRPr="00D62521">
              <w:rPr>
                <w:rFonts w:cs="Times New Roman"/>
                <w:b w:val="0"/>
                <w:szCs w:val="26"/>
              </w:rPr>
              <w:t>SA-18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</w:t>
            </w:r>
          </w:p>
        </w:tc>
        <w:tc>
          <w:tcPr>
            <w:tcW w:w="13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0.9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0.41</w:t>
            </w:r>
          </w:p>
        </w:tc>
      </w:tr>
      <w:tr w:rsidR="006C4429" w:rsidRPr="00D62521" w:rsidTr="002E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both"/>
              <w:rPr>
                <w:rFonts w:cs="Times New Roman"/>
                <w:b w:val="0"/>
                <w:szCs w:val="26"/>
              </w:rPr>
            </w:pPr>
            <w:r w:rsidRPr="00D62521">
              <w:rPr>
                <w:rFonts w:cs="Times New Roman"/>
                <w:b w:val="0"/>
                <w:szCs w:val="26"/>
              </w:rPr>
              <w:t>SA-19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13.8</w:t>
            </w:r>
          </w:p>
        </w:tc>
        <w:tc>
          <w:tcPr>
            <w:tcW w:w="13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8.2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13.5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14.2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5.8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0.41</w:t>
            </w:r>
          </w:p>
        </w:tc>
      </w:tr>
      <w:tr w:rsidR="006C4429" w:rsidRPr="00D62521" w:rsidTr="002E5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both"/>
              <w:rPr>
                <w:rFonts w:cs="Times New Roman"/>
                <w:b w:val="0"/>
                <w:szCs w:val="26"/>
              </w:rPr>
            </w:pPr>
            <w:r w:rsidRPr="00D62521">
              <w:rPr>
                <w:rFonts w:cs="Times New Roman"/>
                <w:b w:val="0"/>
                <w:szCs w:val="26"/>
              </w:rPr>
              <w:t>SA-20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1.1</w:t>
            </w:r>
          </w:p>
        </w:tc>
        <w:tc>
          <w:tcPr>
            <w:tcW w:w="13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0.41</w:t>
            </w:r>
          </w:p>
        </w:tc>
      </w:tr>
      <w:tr w:rsidR="006C4429" w:rsidRPr="00D62521" w:rsidTr="002E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both"/>
              <w:rPr>
                <w:rFonts w:cs="Times New Roman"/>
                <w:b w:val="0"/>
                <w:szCs w:val="26"/>
              </w:rPr>
            </w:pPr>
            <w:r w:rsidRPr="00D62521">
              <w:rPr>
                <w:rFonts w:cs="Times New Roman"/>
                <w:b w:val="0"/>
                <w:szCs w:val="26"/>
              </w:rPr>
              <w:t>SA-22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4.2</w:t>
            </w:r>
          </w:p>
        </w:tc>
        <w:tc>
          <w:tcPr>
            <w:tcW w:w="13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0.9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2.2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2.7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2.7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0.56</w:t>
            </w:r>
          </w:p>
        </w:tc>
      </w:tr>
      <w:tr w:rsidR="006C4429" w:rsidRPr="00D62521" w:rsidTr="002E5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both"/>
              <w:rPr>
                <w:rFonts w:cs="Times New Roman"/>
                <w:b w:val="0"/>
                <w:szCs w:val="26"/>
              </w:rPr>
            </w:pPr>
            <w:r w:rsidRPr="00D62521">
              <w:rPr>
                <w:rFonts w:cs="Times New Roman"/>
                <w:b w:val="0"/>
                <w:szCs w:val="26"/>
              </w:rPr>
              <w:t>SA-23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</w:t>
            </w:r>
          </w:p>
        </w:tc>
        <w:tc>
          <w:tcPr>
            <w:tcW w:w="13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.72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0.38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  <w:r w:rsidRPr="00D62521">
              <w:rPr>
                <w:rFonts w:cs="Times New Roman"/>
                <w:szCs w:val="26"/>
              </w:rPr>
              <w:t>0.41</w:t>
            </w:r>
          </w:p>
        </w:tc>
      </w:tr>
      <w:tr w:rsidR="006C4429" w:rsidRPr="00D62521" w:rsidTr="002E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both"/>
              <w:rPr>
                <w:rFonts w:cs="Times New Roman"/>
                <w:b w:val="0"/>
                <w:szCs w:val="2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</w:p>
        </w:tc>
        <w:tc>
          <w:tcPr>
            <w:tcW w:w="13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6C4429" w:rsidRPr="00D62521" w:rsidRDefault="006C4429" w:rsidP="006C442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6"/>
              </w:rPr>
            </w:pPr>
          </w:p>
        </w:tc>
      </w:tr>
      <w:tr w:rsidR="006C4429" w:rsidRPr="00D62521" w:rsidTr="002E5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6C4429" w:rsidRPr="00D62521" w:rsidRDefault="006C4429" w:rsidP="006C4429">
            <w:pPr>
              <w:spacing w:line="360" w:lineRule="auto"/>
              <w:jc w:val="both"/>
              <w:rPr>
                <w:rFonts w:cs="Times New Roman"/>
                <w:sz w:val="2"/>
                <w:szCs w:val="2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"/>
                <w:szCs w:val="26"/>
              </w:rPr>
            </w:pPr>
          </w:p>
        </w:tc>
        <w:tc>
          <w:tcPr>
            <w:tcW w:w="1332" w:type="dxa"/>
            <w:gridSpan w:val="2"/>
            <w:tcBorders>
              <w:top w:val="nil"/>
              <w:bottom w:val="nil"/>
            </w:tcBorders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"/>
                <w:szCs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"/>
                <w:szCs w:val="2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6C4429" w:rsidRPr="00D62521" w:rsidRDefault="006C4429" w:rsidP="006C442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"/>
                <w:szCs w:val="26"/>
              </w:rPr>
            </w:pPr>
          </w:p>
        </w:tc>
      </w:tr>
      <w:tr w:rsidR="006C4429" w:rsidRPr="00D62521" w:rsidTr="002E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8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6C4429" w:rsidRPr="00D62521" w:rsidRDefault="006C4429" w:rsidP="006C4429">
            <w:pPr>
              <w:tabs>
                <w:tab w:val="left" w:pos="5387"/>
              </w:tabs>
              <w:spacing w:line="360" w:lineRule="auto"/>
              <w:jc w:val="both"/>
              <w:rPr>
                <w:rFonts w:ascii="Calibri" w:eastAsia="Adobe Song Std L" w:hAnsi="Calibri" w:cs="Calibri"/>
                <w:b w:val="0"/>
                <w:sz w:val="16"/>
                <w:szCs w:val="20"/>
                <w:lang w:val="en-AU"/>
              </w:rPr>
            </w:pPr>
            <w:r w:rsidRPr="00D62521">
              <w:rPr>
                <w:rFonts w:ascii="Calibri" w:eastAsia="Adobe Song Std L" w:hAnsi="Calibri" w:cs="Calibri"/>
                <w:b w:val="0"/>
                <w:bCs w:val="0"/>
                <w:szCs w:val="20"/>
                <w:vertAlign w:val="superscript"/>
                <w:lang w:val="en-AU"/>
              </w:rPr>
              <w:t>A</w:t>
            </w:r>
            <w:r w:rsidRPr="00D62521">
              <w:rPr>
                <w:rFonts w:ascii="Calibri" w:eastAsia="Adobe Song Std L" w:hAnsi="Calibri" w:cs="Calibri"/>
                <w:b w:val="0"/>
                <w:bCs w:val="0"/>
                <w:sz w:val="16"/>
                <w:szCs w:val="20"/>
                <w:lang w:val="en-AU"/>
              </w:rPr>
              <w:t xml:space="preserve"> SJH.</w:t>
            </w:r>
            <w:r w:rsidRPr="00D62521">
              <w:rPr>
                <w:rFonts w:ascii="Calibri" w:eastAsia="Adobe Song Std L" w:hAnsi="Calibri" w:cs="Calibri"/>
                <w:b w:val="0"/>
                <w:sz w:val="16"/>
                <w:szCs w:val="20"/>
                <w:lang w:val="en-AU"/>
              </w:rPr>
              <w:t>MSSA-1 strain was the endogenous infecting strain of patient SA-02 and used as a reference strain for subsequent patients.</w:t>
            </w:r>
          </w:p>
          <w:p w:rsidR="006C4429" w:rsidRPr="00D62521" w:rsidRDefault="006C4429" w:rsidP="006C4429">
            <w:pPr>
              <w:spacing w:line="360" w:lineRule="auto"/>
              <w:jc w:val="both"/>
              <w:rPr>
                <w:rFonts w:cs="Times New Roman"/>
                <w:b w:val="0"/>
                <w:sz w:val="16"/>
                <w:szCs w:val="20"/>
              </w:rPr>
            </w:pPr>
            <w:r w:rsidRPr="00D62521">
              <w:rPr>
                <w:rFonts w:cs="Times New Roman"/>
                <w:b w:val="0"/>
                <w:szCs w:val="20"/>
                <w:vertAlign w:val="superscript"/>
              </w:rPr>
              <w:t>B</w:t>
            </w:r>
            <w:r w:rsidRPr="00D62521">
              <w:rPr>
                <w:rFonts w:ascii="Calibri" w:eastAsia="Adobe Song Std L" w:hAnsi="Calibri" w:cs="Calibri"/>
                <w:b w:val="0"/>
                <w:sz w:val="16"/>
                <w:szCs w:val="20"/>
                <w:lang w:val="en-AU"/>
              </w:rPr>
              <w:t xml:space="preserve"> SJH.MRSA-1 strain was the endogenous infecting strain of patient SA-04 and used as a reference strain for subsequent patients.</w:t>
            </w:r>
          </w:p>
          <w:p w:rsidR="006C4429" w:rsidRPr="00D62521" w:rsidRDefault="006C4429" w:rsidP="006C4429">
            <w:pPr>
              <w:spacing w:line="360" w:lineRule="auto"/>
              <w:jc w:val="both"/>
              <w:rPr>
                <w:rFonts w:cs="Times New Roman"/>
                <w:b w:val="0"/>
                <w:sz w:val="16"/>
                <w:szCs w:val="20"/>
              </w:rPr>
            </w:pPr>
            <w:r w:rsidRPr="00D62521">
              <w:rPr>
                <w:rFonts w:cs="Times New Roman"/>
                <w:b w:val="0"/>
                <w:vertAlign w:val="superscript"/>
              </w:rPr>
              <w:t>C</w:t>
            </w:r>
            <w:r w:rsidRPr="00D62521">
              <w:rPr>
                <w:rFonts w:cs="Times New Roman"/>
                <w:b w:val="0"/>
                <w:i/>
                <w:sz w:val="16"/>
                <w:szCs w:val="26"/>
              </w:rPr>
              <w:t xml:space="preserve"> P</w:t>
            </w:r>
            <w:r w:rsidRPr="00D62521">
              <w:rPr>
                <w:rFonts w:cs="Times New Roman"/>
                <w:b w:val="0"/>
                <w:sz w:val="16"/>
                <w:szCs w:val="26"/>
              </w:rPr>
              <w:t xml:space="preserve"> values are calculated by Kruskal-Wallis test.</w:t>
            </w:r>
            <w:r w:rsidRPr="00D62521">
              <w:rPr>
                <w:rFonts w:cs="Times New Roman"/>
                <w:b w:val="0"/>
                <w:sz w:val="16"/>
                <w:szCs w:val="20"/>
              </w:rPr>
              <w:t xml:space="preserve"> </w:t>
            </w:r>
          </w:p>
          <w:p w:rsidR="006C4429" w:rsidRPr="00D62521" w:rsidRDefault="006C4429" w:rsidP="006C4429">
            <w:pPr>
              <w:spacing w:line="360" w:lineRule="auto"/>
              <w:jc w:val="both"/>
              <w:rPr>
                <w:rFonts w:cs="Times New Roman"/>
                <w:b w:val="0"/>
                <w:sz w:val="16"/>
                <w:szCs w:val="20"/>
              </w:rPr>
            </w:pPr>
            <w:r w:rsidRPr="00D62521">
              <w:rPr>
                <w:rFonts w:cs="Times New Roman"/>
                <w:b w:val="0"/>
                <w:szCs w:val="20"/>
                <w:vertAlign w:val="superscript"/>
              </w:rPr>
              <w:t xml:space="preserve">1,2 </w:t>
            </w:r>
            <w:r w:rsidRPr="00D62521">
              <w:rPr>
                <w:rFonts w:cs="Times New Roman"/>
                <w:b w:val="0"/>
                <w:sz w:val="16"/>
                <w:szCs w:val="20"/>
              </w:rPr>
              <w:t xml:space="preserve">Patient SA-03 had recurrent </w:t>
            </w:r>
            <w:r w:rsidRPr="00D62521">
              <w:rPr>
                <w:rFonts w:cs="Times New Roman"/>
                <w:b w:val="0"/>
                <w:i/>
                <w:sz w:val="16"/>
                <w:szCs w:val="20"/>
              </w:rPr>
              <w:t>S. aureus</w:t>
            </w:r>
            <w:r w:rsidRPr="00D62521">
              <w:rPr>
                <w:rFonts w:cs="Times New Roman"/>
                <w:b w:val="0"/>
                <w:sz w:val="16"/>
                <w:szCs w:val="20"/>
              </w:rPr>
              <w:t xml:space="preserve"> BSI (device-associated) 12 months after recovery from initial endovascular infection and was recruited on both occasions. </w:t>
            </w:r>
          </w:p>
          <w:p w:rsidR="006C4429" w:rsidRPr="00D62521" w:rsidRDefault="006C4429" w:rsidP="006C4429">
            <w:pPr>
              <w:spacing w:line="360" w:lineRule="auto"/>
              <w:jc w:val="both"/>
              <w:rPr>
                <w:rFonts w:cs="Times New Roman"/>
                <w:i/>
                <w:sz w:val="20"/>
                <w:szCs w:val="26"/>
              </w:rPr>
            </w:pPr>
            <w:r w:rsidRPr="00D62521">
              <w:rPr>
                <w:rFonts w:cs="Times New Roman"/>
                <w:b w:val="0"/>
                <w:sz w:val="16"/>
                <w:szCs w:val="20"/>
              </w:rPr>
              <w:t xml:space="preserve">Endogenous = patient’s own infecting </w:t>
            </w:r>
            <w:r w:rsidRPr="00D62521">
              <w:rPr>
                <w:rFonts w:cs="Times New Roman"/>
                <w:b w:val="0"/>
                <w:i/>
                <w:sz w:val="16"/>
                <w:szCs w:val="20"/>
              </w:rPr>
              <w:t>S. aureus</w:t>
            </w:r>
            <w:r w:rsidRPr="00D62521">
              <w:rPr>
                <w:rFonts w:cs="Times New Roman"/>
                <w:b w:val="0"/>
                <w:sz w:val="16"/>
                <w:szCs w:val="20"/>
              </w:rPr>
              <w:t xml:space="preserve"> strain. MSSA = methicillin-sensitive </w:t>
            </w:r>
            <w:r w:rsidRPr="00D62521">
              <w:rPr>
                <w:rFonts w:cs="Times New Roman"/>
                <w:b w:val="0"/>
                <w:i/>
                <w:sz w:val="16"/>
                <w:szCs w:val="20"/>
              </w:rPr>
              <w:t>Staphylococcus aureus</w:t>
            </w:r>
            <w:r w:rsidRPr="00D62521">
              <w:rPr>
                <w:rFonts w:cs="Times New Roman"/>
                <w:b w:val="0"/>
                <w:sz w:val="16"/>
                <w:szCs w:val="20"/>
              </w:rPr>
              <w:t xml:space="preserve">. MRSA = methicillin-resistant </w:t>
            </w:r>
            <w:r w:rsidRPr="00D62521">
              <w:rPr>
                <w:rFonts w:cs="Times New Roman"/>
                <w:b w:val="0"/>
                <w:i/>
                <w:sz w:val="16"/>
                <w:szCs w:val="20"/>
              </w:rPr>
              <w:t>Staphylococcus aureus</w:t>
            </w:r>
            <w:r w:rsidRPr="00D62521">
              <w:rPr>
                <w:rFonts w:cs="Times New Roman"/>
                <w:b w:val="0"/>
                <w:sz w:val="16"/>
                <w:szCs w:val="20"/>
              </w:rPr>
              <w:t>. BSI = bloodstream infection.</w:t>
            </w:r>
            <w:r w:rsidRPr="00D62521">
              <w:rPr>
                <w:rFonts w:cs="Times New Roman"/>
                <w:i/>
                <w:sz w:val="20"/>
                <w:szCs w:val="26"/>
              </w:rPr>
              <w:t xml:space="preserve"> </w:t>
            </w:r>
          </w:p>
        </w:tc>
      </w:tr>
    </w:tbl>
    <w:p w:rsidR="0095530C" w:rsidRDefault="003A43F0" w:rsidP="006C4429"/>
    <w:sectPr w:rsidR="0095530C" w:rsidSect="0008710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29"/>
    <w:rsid w:val="003A43F0"/>
    <w:rsid w:val="004A23F6"/>
    <w:rsid w:val="0065084D"/>
    <w:rsid w:val="006C4429"/>
    <w:rsid w:val="007F7127"/>
    <w:rsid w:val="00C11EFF"/>
    <w:rsid w:val="00D1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6ABB6-BC5A-42A8-B197-DBA50585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C44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 Brown</dc:creator>
  <cp:lastModifiedBy>Aisling Brown</cp:lastModifiedBy>
  <cp:revision>2</cp:revision>
  <dcterms:created xsi:type="dcterms:W3CDTF">2015-02-05T16:51:00Z</dcterms:created>
  <dcterms:modified xsi:type="dcterms:W3CDTF">2015-09-27T18:17:00Z</dcterms:modified>
</cp:coreProperties>
</file>