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3A" w:rsidRPr="005A095A" w:rsidRDefault="00B50E3A" w:rsidP="00B50E3A">
      <w:pPr>
        <w:widowControl/>
        <w:spacing w:line="480" w:lineRule="auto"/>
        <w:jc w:val="left"/>
        <w:outlineLvl w:val="2"/>
        <w:rPr>
          <w:rFonts w:ascii="Times New Roman" w:hAnsi="Times New Roman"/>
          <w:b/>
          <w:bCs/>
          <w:color w:val="000000" w:themeColor="text1"/>
          <w:sz w:val="24"/>
          <w:szCs w:val="24"/>
        </w:rPr>
      </w:pPr>
      <w:proofErr w:type="gramStart"/>
      <w:r w:rsidRPr="005A095A">
        <w:rPr>
          <w:rFonts w:ascii="Times New Roman" w:hAnsi="Times New Roman"/>
          <w:b/>
          <w:bCs/>
          <w:color w:val="000000" w:themeColor="text1"/>
          <w:sz w:val="24"/>
          <w:szCs w:val="24"/>
        </w:rPr>
        <w:t>S5 Table.</w:t>
      </w:r>
      <w:proofErr w:type="gramEnd"/>
      <w:r w:rsidRPr="005A095A">
        <w:rPr>
          <w:rFonts w:ascii="Times New Roman" w:hAnsi="Times New Roman"/>
          <w:b/>
          <w:bCs/>
          <w:color w:val="000000" w:themeColor="text1"/>
          <w:sz w:val="24"/>
          <w:szCs w:val="24"/>
        </w:rPr>
        <w:t xml:space="preserve"> Associations of prehypertension and hypertension subtypes with mortality from cardiovascular diseases by survey sites </w:t>
      </w:r>
      <w:r w:rsidRPr="005A095A">
        <w:rPr>
          <w:rFonts w:ascii="Times New Roman" w:hAnsi="Times New Roman"/>
          <w:b/>
          <w:bCs/>
          <w:color w:val="000000" w:themeColor="text1"/>
          <w:sz w:val="24"/>
          <w:szCs w:val="24"/>
          <w:vertAlign w:val="superscript"/>
        </w:rPr>
        <w:t>a</w:t>
      </w:r>
    </w:p>
    <w:tbl>
      <w:tblPr>
        <w:tblW w:w="12833" w:type="dxa"/>
        <w:tblCellMar>
          <w:left w:w="0" w:type="dxa"/>
          <w:right w:w="0" w:type="dxa"/>
        </w:tblCellMar>
        <w:tblLook w:val="04A0" w:firstRow="1" w:lastRow="0" w:firstColumn="1" w:lastColumn="0" w:noHBand="0" w:noVBand="1"/>
      </w:tblPr>
      <w:tblGrid>
        <w:gridCol w:w="1800"/>
        <w:gridCol w:w="1461"/>
        <w:gridCol w:w="1960"/>
        <w:gridCol w:w="1852"/>
        <w:gridCol w:w="1920"/>
        <w:gridCol w:w="1920"/>
        <w:gridCol w:w="1920"/>
      </w:tblGrid>
      <w:tr w:rsidR="00B50E3A" w:rsidRPr="005A095A" w:rsidTr="002F1CF8">
        <w:trPr>
          <w:trHeight w:val="863"/>
        </w:trPr>
        <w:tc>
          <w:tcPr>
            <w:tcW w:w="1800" w:type="dxa"/>
            <w:vMerge w:val="restart"/>
            <w:tcBorders>
              <w:top w:val="single" w:sz="8" w:space="0" w:color="auto"/>
              <w:left w:val="nil"/>
              <w:right w:val="nil"/>
            </w:tcBorders>
            <w:shd w:val="clear" w:color="auto" w:fill="auto"/>
            <w:noWrap/>
            <w:tcMar>
              <w:top w:w="15" w:type="dxa"/>
              <w:left w:w="15" w:type="dxa"/>
              <w:bottom w:w="0" w:type="dxa"/>
              <w:right w:w="15" w:type="dxa"/>
            </w:tcMar>
            <w:vAlign w:val="center"/>
            <w:hideMark/>
          </w:tcPr>
          <w:p w:rsidR="00B50E3A" w:rsidRPr="005A095A" w:rsidRDefault="00B50E3A" w:rsidP="002F1CF8">
            <w:pPr>
              <w:widowControl/>
              <w:spacing w:line="360" w:lineRule="auto"/>
              <w:jc w:val="left"/>
              <w:rPr>
                <w:rFonts w:ascii="Times New Roman" w:eastAsia="Times New Roman" w:hAnsi="Times New Roman"/>
                <w:b/>
                <w:bCs/>
                <w:color w:val="000000"/>
                <w:kern w:val="0"/>
                <w:sz w:val="24"/>
                <w:szCs w:val="24"/>
                <w:lang w:val="en-GB"/>
              </w:rPr>
            </w:pPr>
            <w:r w:rsidRPr="005A095A">
              <w:rPr>
                <w:rFonts w:ascii="Times New Roman" w:hAnsi="Times New Roman"/>
                <w:b/>
                <w:bCs/>
                <w:color w:val="000000"/>
                <w:sz w:val="24"/>
                <w:szCs w:val="24"/>
              </w:rPr>
              <w:t>Survey site</w:t>
            </w:r>
          </w:p>
        </w:tc>
        <w:tc>
          <w:tcPr>
            <w:tcW w:w="1461" w:type="dxa"/>
            <w:vMerge w:val="restart"/>
            <w:tcBorders>
              <w:top w:val="single" w:sz="8" w:space="0" w:color="auto"/>
              <w:left w:val="nil"/>
              <w:right w:val="nil"/>
            </w:tcBorders>
            <w:shd w:val="clear" w:color="auto" w:fill="auto"/>
            <w:noWrap/>
            <w:tcMar>
              <w:top w:w="15" w:type="dxa"/>
              <w:left w:w="15" w:type="dxa"/>
              <w:bottom w:w="0" w:type="dxa"/>
              <w:right w:w="15" w:type="dxa"/>
            </w:tcMar>
            <w:vAlign w:val="center"/>
            <w:hideMark/>
          </w:tcPr>
          <w:p w:rsidR="00B50E3A" w:rsidRPr="005A095A" w:rsidRDefault="00B50E3A" w:rsidP="002F1CF8">
            <w:pPr>
              <w:spacing w:line="360" w:lineRule="auto"/>
              <w:jc w:val="center"/>
              <w:rPr>
                <w:rFonts w:ascii="Times New Roman" w:hAnsi="Times New Roman"/>
                <w:b/>
                <w:bCs/>
                <w:color w:val="000000"/>
                <w:sz w:val="24"/>
                <w:szCs w:val="24"/>
              </w:rPr>
            </w:pPr>
            <w:r w:rsidRPr="005A095A">
              <w:rPr>
                <w:rFonts w:ascii="Times New Roman" w:hAnsi="Times New Roman"/>
                <w:b/>
                <w:bCs/>
                <w:color w:val="000000"/>
                <w:sz w:val="24"/>
                <w:szCs w:val="24"/>
              </w:rPr>
              <w:t>No. of participants</w:t>
            </w:r>
          </w:p>
        </w:tc>
        <w:tc>
          <w:tcPr>
            <w:tcW w:w="1960"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B50E3A" w:rsidRPr="005A095A" w:rsidRDefault="00B50E3A" w:rsidP="002F1CF8">
            <w:pPr>
              <w:spacing w:line="360" w:lineRule="auto"/>
              <w:jc w:val="center"/>
              <w:rPr>
                <w:rFonts w:ascii="Times New Roman" w:hAnsi="Times New Roman"/>
                <w:b/>
                <w:bCs/>
                <w:color w:val="000000"/>
                <w:sz w:val="24"/>
                <w:szCs w:val="24"/>
              </w:rPr>
            </w:pPr>
            <w:r w:rsidRPr="005A095A">
              <w:rPr>
                <w:rFonts w:ascii="Times New Roman" w:hAnsi="Times New Roman"/>
                <w:b/>
                <w:bCs/>
                <w:color w:val="000000"/>
                <w:sz w:val="24"/>
                <w:szCs w:val="24"/>
              </w:rPr>
              <w:t>Prehypertension-low</w:t>
            </w:r>
          </w:p>
        </w:tc>
        <w:tc>
          <w:tcPr>
            <w:tcW w:w="1852"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B50E3A" w:rsidRPr="005A095A" w:rsidRDefault="00B50E3A" w:rsidP="002F1CF8">
            <w:pPr>
              <w:spacing w:line="360" w:lineRule="auto"/>
              <w:jc w:val="center"/>
              <w:rPr>
                <w:rFonts w:ascii="Times New Roman" w:hAnsi="Times New Roman"/>
                <w:b/>
                <w:bCs/>
                <w:color w:val="000000"/>
                <w:sz w:val="24"/>
                <w:szCs w:val="24"/>
              </w:rPr>
            </w:pPr>
            <w:r w:rsidRPr="005A095A">
              <w:rPr>
                <w:rFonts w:ascii="Times New Roman" w:hAnsi="Times New Roman"/>
                <w:b/>
                <w:bCs/>
                <w:color w:val="000000"/>
                <w:sz w:val="24"/>
                <w:szCs w:val="24"/>
              </w:rPr>
              <w:t>Prehypertension-high</w:t>
            </w:r>
          </w:p>
        </w:tc>
        <w:tc>
          <w:tcPr>
            <w:tcW w:w="1920"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B50E3A" w:rsidRPr="005A095A" w:rsidRDefault="00B50E3A" w:rsidP="002F1CF8">
            <w:pPr>
              <w:spacing w:line="360" w:lineRule="auto"/>
              <w:jc w:val="center"/>
              <w:rPr>
                <w:rFonts w:ascii="Times New Roman" w:hAnsi="Times New Roman"/>
                <w:b/>
                <w:bCs/>
                <w:color w:val="000000"/>
                <w:sz w:val="24"/>
                <w:szCs w:val="24"/>
              </w:rPr>
            </w:pPr>
            <w:r w:rsidRPr="005A095A">
              <w:rPr>
                <w:rFonts w:ascii="Times New Roman" w:hAnsi="Times New Roman"/>
                <w:b/>
                <w:bCs/>
                <w:color w:val="000000"/>
                <w:sz w:val="24"/>
                <w:szCs w:val="24"/>
              </w:rPr>
              <w:t>ISH</w:t>
            </w:r>
          </w:p>
        </w:tc>
        <w:tc>
          <w:tcPr>
            <w:tcW w:w="1920" w:type="dxa"/>
            <w:tcBorders>
              <w:top w:val="single" w:sz="8" w:space="0" w:color="auto"/>
              <w:left w:val="nil"/>
              <w:bottom w:val="single" w:sz="4" w:space="0" w:color="auto"/>
              <w:right w:val="nil"/>
            </w:tcBorders>
            <w:shd w:val="clear" w:color="auto" w:fill="auto"/>
            <w:vAlign w:val="center"/>
          </w:tcPr>
          <w:p w:rsidR="00B50E3A" w:rsidRPr="005A095A" w:rsidRDefault="00B50E3A" w:rsidP="002F1CF8">
            <w:pPr>
              <w:spacing w:line="360" w:lineRule="auto"/>
              <w:jc w:val="center"/>
              <w:rPr>
                <w:rFonts w:ascii="Times New Roman" w:hAnsi="Times New Roman"/>
                <w:b/>
                <w:bCs/>
                <w:color w:val="000000"/>
                <w:sz w:val="24"/>
                <w:szCs w:val="24"/>
              </w:rPr>
            </w:pPr>
            <w:r w:rsidRPr="005A095A">
              <w:rPr>
                <w:rFonts w:ascii="Times New Roman" w:hAnsi="Times New Roman"/>
                <w:b/>
                <w:bCs/>
                <w:color w:val="000000"/>
                <w:sz w:val="24"/>
                <w:szCs w:val="24"/>
              </w:rPr>
              <w:t>IDH</w:t>
            </w:r>
          </w:p>
        </w:tc>
        <w:tc>
          <w:tcPr>
            <w:tcW w:w="1920" w:type="dxa"/>
            <w:tcBorders>
              <w:top w:val="single" w:sz="8" w:space="0" w:color="auto"/>
              <w:left w:val="nil"/>
              <w:bottom w:val="single" w:sz="4" w:space="0" w:color="auto"/>
              <w:right w:val="nil"/>
            </w:tcBorders>
            <w:shd w:val="clear" w:color="auto" w:fill="auto"/>
            <w:vAlign w:val="center"/>
          </w:tcPr>
          <w:p w:rsidR="00B50E3A" w:rsidRPr="005A095A" w:rsidRDefault="00B50E3A" w:rsidP="002F1CF8">
            <w:pPr>
              <w:spacing w:line="360" w:lineRule="auto"/>
              <w:jc w:val="center"/>
              <w:rPr>
                <w:rFonts w:ascii="Times New Roman" w:hAnsi="Times New Roman"/>
                <w:b/>
                <w:bCs/>
                <w:color w:val="000000"/>
                <w:sz w:val="24"/>
                <w:szCs w:val="24"/>
              </w:rPr>
            </w:pPr>
            <w:r w:rsidRPr="005A095A">
              <w:rPr>
                <w:rFonts w:ascii="Times New Roman" w:hAnsi="Times New Roman"/>
                <w:b/>
                <w:bCs/>
                <w:color w:val="000000"/>
                <w:sz w:val="24"/>
                <w:szCs w:val="24"/>
              </w:rPr>
              <w:t>SDH</w:t>
            </w:r>
          </w:p>
        </w:tc>
      </w:tr>
      <w:tr w:rsidR="00B50E3A" w:rsidRPr="005A095A" w:rsidTr="002F1CF8">
        <w:trPr>
          <w:trHeight w:val="300"/>
        </w:trPr>
        <w:tc>
          <w:tcPr>
            <w:tcW w:w="0" w:type="auto"/>
            <w:vMerge/>
            <w:tcBorders>
              <w:left w:val="nil"/>
              <w:bottom w:val="single" w:sz="4" w:space="0" w:color="auto"/>
              <w:right w:val="nil"/>
            </w:tcBorders>
            <w:shd w:val="clear" w:color="auto" w:fill="auto"/>
            <w:noWrap/>
            <w:tcMar>
              <w:top w:w="15" w:type="dxa"/>
              <w:left w:w="15" w:type="dxa"/>
              <w:bottom w:w="0" w:type="dxa"/>
              <w:right w:w="15" w:type="dxa"/>
            </w:tcMar>
          </w:tcPr>
          <w:p w:rsidR="00B50E3A" w:rsidRPr="005A095A" w:rsidRDefault="00B50E3A" w:rsidP="002F1CF8">
            <w:pPr>
              <w:spacing w:line="360" w:lineRule="auto"/>
              <w:rPr>
                <w:rFonts w:ascii="Times New Roman" w:hAnsi="Times New Roman"/>
                <w:color w:val="000000"/>
                <w:sz w:val="24"/>
                <w:szCs w:val="24"/>
              </w:rPr>
            </w:pPr>
          </w:p>
        </w:tc>
        <w:tc>
          <w:tcPr>
            <w:tcW w:w="1461" w:type="dxa"/>
            <w:vMerge/>
            <w:tcBorders>
              <w:left w:val="nil"/>
              <w:bottom w:val="single" w:sz="4" w:space="0" w:color="auto"/>
              <w:right w:val="nil"/>
            </w:tcBorders>
            <w:shd w:val="clear" w:color="auto" w:fill="auto"/>
            <w:tcMar>
              <w:top w:w="15" w:type="dxa"/>
              <w:left w:w="15" w:type="dxa"/>
              <w:bottom w:w="0" w:type="dxa"/>
              <w:right w:w="15" w:type="dxa"/>
            </w:tcMar>
          </w:tcPr>
          <w:p w:rsidR="00B50E3A" w:rsidRPr="005A095A" w:rsidRDefault="00B50E3A" w:rsidP="002F1CF8">
            <w:pPr>
              <w:spacing w:line="360" w:lineRule="auto"/>
              <w:jc w:val="center"/>
              <w:rPr>
                <w:rFonts w:ascii="Times New Roman" w:hAnsi="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tcPr>
          <w:p w:rsidR="00B50E3A" w:rsidRPr="005A095A" w:rsidRDefault="00B50E3A" w:rsidP="002F1CF8">
            <w:pPr>
              <w:spacing w:line="360" w:lineRule="auto"/>
              <w:jc w:val="center"/>
              <w:rPr>
                <w:rFonts w:ascii="Times New Roman" w:hAnsi="Times New Roman"/>
                <w:b/>
                <w:bCs/>
                <w:color w:val="000000"/>
                <w:sz w:val="24"/>
                <w:szCs w:val="24"/>
              </w:rPr>
            </w:pPr>
            <w:r w:rsidRPr="005A095A">
              <w:rPr>
                <w:rFonts w:ascii="Times New Roman" w:hAnsi="Times New Roman"/>
                <w:b/>
                <w:bCs/>
                <w:color w:val="000000" w:themeColor="text1"/>
                <w:kern w:val="0"/>
                <w:sz w:val="24"/>
                <w:szCs w:val="24"/>
              </w:rPr>
              <w:t>HR (95%CI)</w:t>
            </w:r>
          </w:p>
        </w:tc>
        <w:tc>
          <w:tcPr>
            <w:tcW w:w="185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tcPr>
          <w:p w:rsidR="00B50E3A" w:rsidRPr="005A095A" w:rsidRDefault="00B50E3A" w:rsidP="002F1CF8">
            <w:pPr>
              <w:spacing w:line="360" w:lineRule="auto"/>
              <w:jc w:val="center"/>
              <w:rPr>
                <w:rFonts w:ascii="Times New Roman" w:hAnsi="Times New Roman"/>
                <w:b/>
                <w:bCs/>
                <w:color w:val="000000"/>
                <w:sz w:val="24"/>
                <w:szCs w:val="24"/>
              </w:rPr>
            </w:pPr>
            <w:r w:rsidRPr="005A095A">
              <w:rPr>
                <w:rFonts w:ascii="Times New Roman" w:hAnsi="Times New Roman"/>
                <w:b/>
                <w:bCs/>
                <w:color w:val="000000" w:themeColor="text1"/>
                <w:kern w:val="0"/>
                <w:sz w:val="24"/>
                <w:szCs w:val="24"/>
              </w:rPr>
              <w:t>HR (95%CI)</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tcPr>
          <w:p w:rsidR="00B50E3A" w:rsidRPr="005A095A" w:rsidRDefault="00B50E3A" w:rsidP="002F1CF8">
            <w:pPr>
              <w:spacing w:line="360" w:lineRule="auto"/>
              <w:jc w:val="center"/>
              <w:rPr>
                <w:rFonts w:ascii="Times New Roman" w:hAnsi="Times New Roman"/>
                <w:b/>
                <w:bCs/>
                <w:color w:val="000000"/>
                <w:sz w:val="24"/>
                <w:szCs w:val="24"/>
              </w:rPr>
            </w:pPr>
            <w:r w:rsidRPr="005A095A">
              <w:rPr>
                <w:rFonts w:ascii="Times New Roman" w:hAnsi="Times New Roman"/>
                <w:b/>
                <w:bCs/>
                <w:color w:val="000000" w:themeColor="text1"/>
                <w:kern w:val="0"/>
                <w:sz w:val="24"/>
                <w:szCs w:val="24"/>
              </w:rPr>
              <w:t>HR (95%CI)</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tcPr>
          <w:p w:rsidR="00B50E3A" w:rsidRPr="005A095A" w:rsidRDefault="00B50E3A" w:rsidP="002F1CF8">
            <w:pPr>
              <w:spacing w:line="360" w:lineRule="auto"/>
              <w:jc w:val="center"/>
              <w:rPr>
                <w:rFonts w:ascii="Times New Roman" w:hAnsi="Times New Roman"/>
                <w:b/>
                <w:bCs/>
                <w:color w:val="000000"/>
                <w:sz w:val="24"/>
                <w:szCs w:val="24"/>
              </w:rPr>
            </w:pPr>
            <w:r w:rsidRPr="005A095A">
              <w:rPr>
                <w:rFonts w:ascii="Times New Roman" w:hAnsi="Times New Roman"/>
                <w:b/>
                <w:bCs/>
                <w:color w:val="000000" w:themeColor="text1"/>
                <w:kern w:val="0"/>
                <w:sz w:val="24"/>
                <w:szCs w:val="24"/>
              </w:rPr>
              <w:t>HR (95%CI)</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tcPr>
          <w:p w:rsidR="00B50E3A" w:rsidRPr="005A095A" w:rsidRDefault="00B50E3A" w:rsidP="002F1CF8">
            <w:pPr>
              <w:spacing w:line="360" w:lineRule="auto"/>
              <w:jc w:val="center"/>
              <w:rPr>
                <w:rFonts w:ascii="Times New Roman" w:hAnsi="Times New Roman"/>
                <w:b/>
                <w:bCs/>
                <w:color w:val="000000"/>
                <w:sz w:val="24"/>
                <w:szCs w:val="24"/>
              </w:rPr>
            </w:pPr>
            <w:r w:rsidRPr="005A095A">
              <w:rPr>
                <w:rFonts w:ascii="Times New Roman" w:hAnsi="Times New Roman"/>
                <w:b/>
                <w:bCs/>
                <w:color w:val="000000" w:themeColor="text1"/>
                <w:kern w:val="0"/>
                <w:sz w:val="24"/>
                <w:szCs w:val="24"/>
              </w:rPr>
              <w:t>HR (95%CI)</w:t>
            </w:r>
          </w:p>
        </w:tc>
      </w:tr>
      <w:tr w:rsidR="00B50E3A" w:rsidRPr="005A095A" w:rsidTr="002F1CF8">
        <w:trPr>
          <w:trHeight w:val="300"/>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rPr>
                <w:rFonts w:ascii="Times New Roman" w:hAnsi="Times New Roman"/>
                <w:color w:val="000000"/>
                <w:sz w:val="24"/>
                <w:szCs w:val="24"/>
              </w:rPr>
            </w:pPr>
            <w:r w:rsidRPr="005A095A">
              <w:rPr>
                <w:rFonts w:ascii="Times New Roman" w:hAnsi="Times New Roman"/>
                <w:color w:val="000000"/>
                <w:sz w:val="24"/>
                <w:szCs w:val="24"/>
              </w:rPr>
              <w:t>Qingdao (Urban)</w:t>
            </w:r>
          </w:p>
        </w:tc>
        <w:tc>
          <w:tcPr>
            <w:tcW w:w="1461" w:type="dxa"/>
            <w:tcBorders>
              <w:top w:val="single" w:sz="4" w:space="0" w:color="auto"/>
              <w:left w:val="nil"/>
              <w:bottom w:val="nil"/>
              <w:right w:val="nil"/>
            </w:tcBorders>
            <w:shd w:val="clear" w:color="auto" w:fill="auto"/>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29 226</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0.87 (0.56-1.34)</w:t>
            </w:r>
          </w:p>
        </w:tc>
        <w:tc>
          <w:tcPr>
            <w:tcW w:w="1852" w:type="dxa"/>
            <w:tcBorders>
              <w:top w:val="single" w:sz="4" w:space="0" w:color="auto"/>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0.98 (0.68-1.43)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1.41 (0.99-2.02)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1.36 (0.62-2.66)</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2.15 (1.48-3.15)</w:t>
            </w:r>
          </w:p>
        </w:tc>
      </w:tr>
      <w:tr w:rsidR="00B50E3A" w:rsidRPr="005A095A" w:rsidTr="002F1CF8">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rPr>
                <w:rFonts w:ascii="Times New Roman" w:hAnsi="Times New Roman"/>
                <w:color w:val="000000"/>
                <w:sz w:val="24"/>
                <w:szCs w:val="24"/>
              </w:rPr>
            </w:pPr>
            <w:r w:rsidRPr="005A095A">
              <w:rPr>
                <w:rFonts w:ascii="Times New Roman" w:hAnsi="Times New Roman"/>
                <w:color w:val="000000"/>
                <w:sz w:val="24"/>
                <w:szCs w:val="24"/>
              </w:rPr>
              <w:t>Harbin (Urban)</w:t>
            </w:r>
          </w:p>
        </w:tc>
        <w:tc>
          <w:tcPr>
            <w:tcW w:w="1461" w:type="dxa"/>
            <w:tcBorders>
              <w:top w:val="nil"/>
              <w:left w:val="nil"/>
              <w:bottom w:val="nil"/>
              <w:right w:val="nil"/>
            </w:tcBorders>
            <w:shd w:val="clear" w:color="auto" w:fill="auto"/>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44 147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1.29 (1.00-1.65)</w:t>
            </w:r>
          </w:p>
        </w:tc>
        <w:tc>
          <w:tcPr>
            <w:tcW w:w="1852" w:type="dxa"/>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1.62 (1.31-2.00)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2.34 (1.89-2.91)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1.81 (1.11-2.81)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4.33 (3.47-5.41)</w:t>
            </w:r>
          </w:p>
        </w:tc>
      </w:tr>
      <w:tr w:rsidR="00B50E3A" w:rsidRPr="005A095A" w:rsidTr="002F1CF8">
        <w:trPr>
          <w:trHeight w:val="37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rPr>
                <w:rFonts w:ascii="Times New Roman" w:hAnsi="Times New Roman"/>
                <w:color w:val="000000"/>
                <w:sz w:val="24"/>
                <w:szCs w:val="24"/>
              </w:rPr>
            </w:pPr>
            <w:r w:rsidRPr="005A095A">
              <w:rPr>
                <w:rFonts w:ascii="Times New Roman" w:hAnsi="Times New Roman"/>
                <w:color w:val="000000"/>
                <w:sz w:val="24"/>
                <w:szCs w:val="24"/>
              </w:rPr>
              <w:t>Haikou (Urban)</w:t>
            </w:r>
          </w:p>
        </w:tc>
        <w:tc>
          <w:tcPr>
            <w:tcW w:w="1461" w:type="dxa"/>
            <w:tcBorders>
              <w:top w:val="nil"/>
              <w:left w:val="nil"/>
              <w:bottom w:val="nil"/>
              <w:right w:val="nil"/>
            </w:tcBorders>
            <w:shd w:val="clear" w:color="auto" w:fill="auto"/>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26 166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1.04 (0.74-1.43)</w:t>
            </w:r>
          </w:p>
        </w:tc>
        <w:tc>
          <w:tcPr>
            <w:tcW w:w="1852" w:type="dxa"/>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1.41 (1.06-1.87)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1.41 (1.06-1.87)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1.00 (0.25-2.68)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2.80 (1.99-3.90)</w:t>
            </w:r>
          </w:p>
        </w:tc>
      </w:tr>
      <w:tr w:rsidR="00B50E3A" w:rsidRPr="005A095A" w:rsidTr="002F1CF8">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rPr>
                <w:rFonts w:ascii="Times New Roman" w:hAnsi="Times New Roman"/>
                <w:color w:val="000000"/>
                <w:sz w:val="24"/>
                <w:szCs w:val="24"/>
              </w:rPr>
            </w:pPr>
            <w:r w:rsidRPr="005A095A">
              <w:rPr>
                <w:rFonts w:ascii="Times New Roman" w:hAnsi="Times New Roman"/>
                <w:color w:val="000000"/>
                <w:sz w:val="24"/>
                <w:szCs w:val="24"/>
              </w:rPr>
              <w:t>Suzhou (Urban)</w:t>
            </w:r>
          </w:p>
        </w:tc>
        <w:tc>
          <w:tcPr>
            <w:tcW w:w="1461" w:type="dxa"/>
            <w:tcBorders>
              <w:top w:val="nil"/>
              <w:left w:val="nil"/>
              <w:bottom w:val="nil"/>
              <w:right w:val="nil"/>
            </w:tcBorders>
            <w:shd w:val="clear" w:color="auto" w:fill="auto"/>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43 265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1.05 (0.70-1.56)</w:t>
            </w:r>
          </w:p>
        </w:tc>
        <w:tc>
          <w:tcPr>
            <w:tcW w:w="1852" w:type="dxa"/>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1.03 (0.72-1.49)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1.75 (1.27-2.45)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1.44 (0.50-3.31)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2.49 (1.73-3.61)</w:t>
            </w:r>
          </w:p>
        </w:tc>
      </w:tr>
      <w:tr w:rsidR="00B50E3A" w:rsidRPr="005A095A" w:rsidTr="002F1CF8">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rPr>
                <w:rFonts w:ascii="Times New Roman" w:hAnsi="Times New Roman"/>
                <w:color w:val="000000"/>
                <w:sz w:val="24"/>
                <w:szCs w:val="24"/>
              </w:rPr>
            </w:pPr>
            <w:r w:rsidRPr="005A095A">
              <w:rPr>
                <w:rFonts w:ascii="Times New Roman" w:hAnsi="Times New Roman"/>
                <w:color w:val="000000"/>
                <w:sz w:val="24"/>
                <w:szCs w:val="24"/>
              </w:rPr>
              <w:t>Liuzhou (Urban)</w:t>
            </w:r>
          </w:p>
        </w:tc>
        <w:tc>
          <w:tcPr>
            <w:tcW w:w="1461" w:type="dxa"/>
            <w:tcBorders>
              <w:top w:val="nil"/>
              <w:left w:val="nil"/>
              <w:bottom w:val="nil"/>
              <w:right w:val="nil"/>
            </w:tcBorders>
            <w:shd w:val="clear" w:color="auto" w:fill="auto"/>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39 980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1.52 (1.15-2.02)</w:t>
            </w:r>
          </w:p>
        </w:tc>
        <w:tc>
          <w:tcPr>
            <w:tcW w:w="1852" w:type="dxa"/>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1.80 (1.39-2.36)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2.62 (2.04-3.39)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2.61 (1.16-5.08)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5.27 (3.96-7.02)</w:t>
            </w:r>
          </w:p>
        </w:tc>
      </w:tr>
      <w:tr w:rsidR="00B50E3A" w:rsidRPr="005A095A" w:rsidTr="002F1CF8">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rPr>
                <w:rFonts w:ascii="Times New Roman" w:hAnsi="Times New Roman"/>
                <w:color w:val="000000"/>
                <w:sz w:val="24"/>
                <w:szCs w:val="24"/>
              </w:rPr>
            </w:pPr>
            <w:r w:rsidRPr="005A095A">
              <w:rPr>
                <w:rFonts w:ascii="Times New Roman" w:hAnsi="Times New Roman"/>
                <w:color w:val="000000"/>
                <w:sz w:val="24"/>
                <w:szCs w:val="24"/>
              </w:rPr>
              <w:t>Sichuan (Rural)</w:t>
            </w:r>
          </w:p>
        </w:tc>
        <w:tc>
          <w:tcPr>
            <w:tcW w:w="1461" w:type="dxa"/>
            <w:tcBorders>
              <w:top w:val="nil"/>
              <w:left w:val="nil"/>
              <w:bottom w:val="nil"/>
              <w:right w:val="nil"/>
            </w:tcBorders>
            <w:shd w:val="clear" w:color="auto" w:fill="auto"/>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52 516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0.99 (0.79-1.24)</w:t>
            </w:r>
          </w:p>
        </w:tc>
        <w:tc>
          <w:tcPr>
            <w:tcW w:w="1852" w:type="dxa"/>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1.09 (0.89-1.33)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1.64 (1.35-2.01)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2.15 (1.27-3.42)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3.55 (2.91-4.35)</w:t>
            </w:r>
          </w:p>
        </w:tc>
      </w:tr>
      <w:tr w:rsidR="00B50E3A" w:rsidRPr="005A095A" w:rsidTr="002F1CF8">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rPr>
                <w:rFonts w:ascii="Times New Roman" w:hAnsi="Times New Roman"/>
                <w:color w:val="000000"/>
                <w:sz w:val="24"/>
                <w:szCs w:val="24"/>
              </w:rPr>
            </w:pPr>
            <w:r w:rsidRPr="005A095A">
              <w:rPr>
                <w:rFonts w:ascii="Times New Roman" w:hAnsi="Times New Roman"/>
                <w:color w:val="000000"/>
                <w:sz w:val="24"/>
                <w:szCs w:val="24"/>
              </w:rPr>
              <w:t>Gansu (Rural)</w:t>
            </w:r>
          </w:p>
        </w:tc>
        <w:tc>
          <w:tcPr>
            <w:tcW w:w="1461" w:type="dxa"/>
            <w:tcBorders>
              <w:top w:val="nil"/>
              <w:left w:val="nil"/>
              <w:bottom w:val="nil"/>
              <w:right w:val="nil"/>
            </w:tcBorders>
            <w:shd w:val="clear" w:color="auto" w:fill="auto"/>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45 232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1.06 (0.86-1.30)</w:t>
            </w:r>
          </w:p>
        </w:tc>
        <w:tc>
          <w:tcPr>
            <w:tcW w:w="1852" w:type="dxa"/>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1.34 (1.12-1.61)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2.18 (1.85-2.57)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2.46 (1.65-3.56)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4.69 (3.98-5.53)</w:t>
            </w:r>
          </w:p>
        </w:tc>
      </w:tr>
      <w:tr w:rsidR="00B50E3A" w:rsidRPr="005A095A" w:rsidTr="002F1CF8">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rPr>
                <w:rFonts w:ascii="Times New Roman" w:hAnsi="Times New Roman"/>
                <w:color w:val="000000"/>
                <w:sz w:val="24"/>
                <w:szCs w:val="24"/>
              </w:rPr>
            </w:pPr>
            <w:r w:rsidRPr="005A095A">
              <w:rPr>
                <w:rFonts w:ascii="Times New Roman" w:hAnsi="Times New Roman"/>
                <w:color w:val="000000"/>
                <w:sz w:val="24"/>
                <w:szCs w:val="24"/>
              </w:rPr>
              <w:t>Henan (Rural)</w:t>
            </w:r>
          </w:p>
        </w:tc>
        <w:tc>
          <w:tcPr>
            <w:tcW w:w="1461" w:type="dxa"/>
            <w:tcBorders>
              <w:top w:val="nil"/>
              <w:left w:val="nil"/>
              <w:bottom w:val="nil"/>
              <w:right w:val="nil"/>
            </w:tcBorders>
            <w:shd w:val="clear" w:color="auto" w:fill="auto"/>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52 132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0.98 (0.77-1.24)</w:t>
            </w:r>
          </w:p>
        </w:tc>
        <w:tc>
          <w:tcPr>
            <w:tcW w:w="1852" w:type="dxa"/>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1.30 (1.07-1.59)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2.21 (1.84-2.67)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2.97 (1.86-4.53)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3.82 (3.15-4.66)</w:t>
            </w:r>
          </w:p>
        </w:tc>
      </w:tr>
      <w:tr w:rsidR="00B50E3A" w:rsidRPr="005A095A" w:rsidTr="002F1CF8">
        <w:trPr>
          <w:trHeight w:val="312"/>
        </w:trPr>
        <w:tc>
          <w:tcPr>
            <w:tcW w:w="0" w:type="auto"/>
            <w:tcBorders>
              <w:top w:val="nil"/>
              <w:left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rPr>
                <w:rFonts w:ascii="Times New Roman" w:hAnsi="Times New Roman"/>
                <w:color w:val="000000"/>
                <w:sz w:val="24"/>
                <w:szCs w:val="24"/>
              </w:rPr>
            </w:pPr>
            <w:r w:rsidRPr="005A095A">
              <w:rPr>
                <w:rFonts w:ascii="Times New Roman" w:hAnsi="Times New Roman"/>
                <w:color w:val="000000"/>
                <w:sz w:val="24"/>
                <w:szCs w:val="24"/>
              </w:rPr>
              <w:t>Zhejiang (Rural)</w:t>
            </w:r>
          </w:p>
        </w:tc>
        <w:tc>
          <w:tcPr>
            <w:tcW w:w="1461" w:type="dxa"/>
            <w:tcBorders>
              <w:top w:val="nil"/>
              <w:left w:val="nil"/>
              <w:right w:val="nil"/>
            </w:tcBorders>
            <w:shd w:val="clear" w:color="auto" w:fill="auto"/>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47 047</w:t>
            </w:r>
          </w:p>
        </w:tc>
        <w:tc>
          <w:tcPr>
            <w:tcW w:w="0" w:type="auto"/>
            <w:tcBorders>
              <w:top w:val="nil"/>
              <w:left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1.57 (1.06-2.33)</w:t>
            </w:r>
          </w:p>
        </w:tc>
        <w:tc>
          <w:tcPr>
            <w:tcW w:w="1852" w:type="dxa"/>
            <w:tcBorders>
              <w:top w:val="nil"/>
              <w:left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1.43 (1.00-2.07)</w:t>
            </w:r>
          </w:p>
        </w:tc>
        <w:tc>
          <w:tcPr>
            <w:tcW w:w="0" w:type="auto"/>
            <w:tcBorders>
              <w:top w:val="nil"/>
              <w:left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2.57 (1.86-3.60)</w:t>
            </w:r>
          </w:p>
        </w:tc>
        <w:tc>
          <w:tcPr>
            <w:tcW w:w="0" w:type="auto"/>
            <w:tcBorders>
              <w:top w:val="nil"/>
              <w:left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4.01 (2.07-7.26)</w:t>
            </w:r>
          </w:p>
        </w:tc>
        <w:tc>
          <w:tcPr>
            <w:tcW w:w="0" w:type="auto"/>
            <w:tcBorders>
              <w:top w:val="nil"/>
              <w:left w:val="nil"/>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3.49 (2.45-5.04)</w:t>
            </w:r>
          </w:p>
        </w:tc>
      </w:tr>
      <w:tr w:rsidR="00B50E3A" w:rsidRPr="005A095A" w:rsidTr="002F1CF8">
        <w:trPr>
          <w:trHeight w:val="312"/>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rPr>
                <w:rFonts w:ascii="Times New Roman" w:hAnsi="Times New Roman"/>
                <w:color w:val="000000"/>
                <w:sz w:val="24"/>
                <w:szCs w:val="24"/>
              </w:rPr>
            </w:pPr>
            <w:r w:rsidRPr="005A095A">
              <w:rPr>
                <w:rFonts w:ascii="Times New Roman" w:hAnsi="Times New Roman"/>
                <w:color w:val="000000"/>
                <w:sz w:val="24"/>
                <w:szCs w:val="24"/>
              </w:rPr>
              <w:t>Hunan (Rural)</w:t>
            </w:r>
          </w:p>
        </w:tc>
        <w:tc>
          <w:tcPr>
            <w:tcW w:w="1461" w:type="dxa"/>
            <w:tcBorders>
              <w:top w:val="nil"/>
              <w:left w:val="nil"/>
              <w:bottom w:val="single" w:sz="4" w:space="0" w:color="auto"/>
              <w:right w:val="nil"/>
            </w:tcBorders>
            <w:shd w:val="clear" w:color="auto" w:fill="auto"/>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51 266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1.01 (0.83-1.21)</w:t>
            </w:r>
          </w:p>
        </w:tc>
        <w:tc>
          <w:tcPr>
            <w:tcW w:w="1852"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1.29 (1.09-1.52)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2.00 (1.72-2.34)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2.15 (1.28-3.38)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B50E3A" w:rsidRPr="005A095A" w:rsidRDefault="00B50E3A"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3.67 (3.09-4.35)</w:t>
            </w:r>
          </w:p>
        </w:tc>
      </w:tr>
    </w:tbl>
    <w:p w:rsidR="00B50E3A" w:rsidRPr="005A095A" w:rsidRDefault="00B50E3A" w:rsidP="00B50E3A">
      <w:pPr>
        <w:widowControl/>
        <w:spacing w:before="120" w:line="276" w:lineRule="auto"/>
        <w:ind w:right="68"/>
        <w:jc w:val="left"/>
        <w:rPr>
          <w:rFonts w:ascii="Times New Roman" w:hAnsi="Times New Roman"/>
          <w:color w:val="000000" w:themeColor="text1"/>
          <w:sz w:val="24"/>
          <w:szCs w:val="24"/>
        </w:rPr>
      </w:pPr>
      <w:r w:rsidRPr="005A095A">
        <w:rPr>
          <w:rFonts w:ascii="Times New Roman" w:hAnsi="Times New Roman"/>
          <w:color w:val="000000" w:themeColor="text1"/>
          <w:sz w:val="24"/>
          <w:szCs w:val="24"/>
        </w:rPr>
        <w:t>Abbreviations: ISH, isolated systolic hypertension; IDH, isolated diastolic hypertension; SDH, systolic-diastolic hypertension; HR, hazard ratios; CI, confidence interval.</w:t>
      </w:r>
    </w:p>
    <w:p w:rsidR="00B50E3A" w:rsidRPr="005A095A" w:rsidRDefault="00B50E3A" w:rsidP="00B50E3A">
      <w:pPr>
        <w:widowControl/>
        <w:spacing w:line="276" w:lineRule="auto"/>
        <w:ind w:right="66"/>
        <w:jc w:val="left"/>
        <w:rPr>
          <w:rFonts w:ascii="Times New Roman" w:hAnsi="Times New Roman"/>
          <w:color w:val="000000" w:themeColor="text1"/>
          <w:sz w:val="24"/>
          <w:szCs w:val="24"/>
        </w:rPr>
      </w:pPr>
      <w:r w:rsidRPr="005A095A">
        <w:rPr>
          <w:rFonts w:ascii="Times New Roman" w:hAnsi="Times New Roman"/>
          <w:color w:val="000000" w:themeColor="text1"/>
          <w:sz w:val="24"/>
          <w:szCs w:val="24"/>
        </w:rPr>
        <w:t>Reference: Normal blood pressure.</w:t>
      </w:r>
    </w:p>
    <w:p w:rsidR="007C6CDC" w:rsidRDefault="00B50E3A" w:rsidP="00B50E3A">
      <w:proofErr w:type="spellStart"/>
      <w:r w:rsidRPr="005A095A">
        <w:rPr>
          <w:rFonts w:ascii="Times New Roman" w:hAnsi="Times New Roman"/>
          <w:color w:val="000000" w:themeColor="text1"/>
          <w:sz w:val="24"/>
          <w:szCs w:val="24"/>
          <w:vertAlign w:val="superscript"/>
        </w:rPr>
        <w:t>a</w:t>
      </w:r>
      <w:proofErr w:type="spellEnd"/>
      <w:r w:rsidRPr="005A095A">
        <w:rPr>
          <w:rFonts w:ascii="Times New Roman" w:hAnsi="Times New Roman"/>
          <w:color w:val="000000" w:themeColor="text1"/>
          <w:sz w:val="24"/>
          <w:szCs w:val="24"/>
        </w:rPr>
        <w:t xml:space="preserve"> Adjusted for age, education level, marital status, smoking status, alcohol consumption, intake of vegetables, fruits, and red meat, physical activity, body mass index, survey season, heart rate, diabetes at baseline, and family history of cardiovascular disease, and were stratified according to five-year age group and sex.</w:t>
      </w:r>
      <w:bookmarkStart w:id="0" w:name="_GoBack"/>
      <w:bookmarkEnd w:id="0"/>
    </w:p>
    <w:sectPr w:rsidR="007C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96"/>
    <w:rsid w:val="00382516"/>
    <w:rsid w:val="007C6CDC"/>
    <w:rsid w:val="00987D96"/>
    <w:rsid w:val="00B5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3A"/>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3A"/>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Akasapu</dc:creator>
  <cp:keywords/>
  <dc:description/>
  <cp:lastModifiedBy>Meenakshi Akasapu</cp:lastModifiedBy>
  <cp:revision>2</cp:revision>
  <dcterms:created xsi:type="dcterms:W3CDTF">2021-07-20T00:50:00Z</dcterms:created>
  <dcterms:modified xsi:type="dcterms:W3CDTF">2021-07-20T00:50:00Z</dcterms:modified>
</cp:coreProperties>
</file>