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3221" w14:textId="26E8764B" w:rsidR="00FA6CC5" w:rsidRPr="0025714C" w:rsidRDefault="0025714C" w:rsidP="00FA6CC5">
      <w:pPr>
        <w:spacing w:after="0" w:line="480" w:lineRule="auto"/>
        <w:rPr>
          <w:b/>
          <w:bCs/>
        </w:rPr>
      </w:pPr>
      <w:r w:rsidRPr="0025714C">
        <w:rPr>
          <w:b/>
          <w:bCs/>
        </w:rPr>
        <w:t xml:space="preserve">Radiocarbon dates </w:t>
      </w:r>
    </w:p>
    <w:p w14:paraId="4EB3876D" w14:textId="7D847F17" w:rsidR="004B5058" w:rsidRPr="0025714C" w:rsidRDefault="00FA6CC5" w:rsidP="0025714C">
      <w:pPr>
        <w:spacing w:line="480" w:lineRule="auto"/>
      </w:pPr>
      <w:r>
        <w:t>Radiocarbon dates from the Szigetszentmiklós</w:t>
      </w:r>
      <w:r w:rsidRPr="008F3C9D">
        <w:t>-</w:t>
      </w:r>
      <w:proofErr w:type="spellStart"/>
      <w:r w:rsidRPr="008F3C9D">
        <w:t>Ürgehegy</w:t>
      </w:r>
      <w:proofErr w:type="spellEnd"/>
      <w:r>
        <w:t xml:space="preserve"> cemetery </w:t>
      </w:r>
      <w:r w:rsidR="00D933B8">
        <w:t>have been produced</w:t>
      </w:r>
      <w:r>
        <w:t xml:space="preserve"> for 11 burials: nine cremations and two inhumations.</w:t>
      </w:r>
      <w:r w:rsidR="00D933B8">
        <w:t xml:space="preserve"> It is well-known that </w:t>
      </w:r>
      <w:r>
        <w:t>dating of cremation burials can be challenging</w:t>
      </w:r>
      <w:r w:rsidR="00D933B8">
        <w:t>, since</w:t>
      </w:r>
      <w:r>
        <w:t xml:space="preserve"> cremated bones </w:t>
      </w:r>
      <w:r w:rsidR="00D933B8">
        <w:t xml:space="preserve">can </w:t>
      </w:r>
      <w:r>
        <w:t>provide slightly older or younger dates (e.g. due to</w:t>
      </w:r>
      <w:r w:rsidR="00D933B8">
        <w:t xml:space="preserve"> the ‘</w:t>
      </w:r>
      <w:r>
        <w:t>old wood effect</w:t>
      </w:r>
      <w:r w:rsidR="00D933B8">
        <w:t>’</w:t>
      </w:r>
      <w:r>
        <w:t xml:space="preserve"> of the pyre</w:t>
      </w:r>
      <w:r w:rsidR="00861D14">
        <w:t>, or to other diagenetic processes</w:t>
      </w:r>
      <w:r>
        <w:t>) than collagen samples of the same p</w:t>
      </w:r>
      <w:r w:rsidR="0025714C">
        <w:t>e</w:t>
      </w:r>
      <w:r>
        <w:t>riod</w:t>
      </w:r>
      <w:r w:rsidR="004B5058">
        <w:t xml:space="preserve"> </w:t>
      </w:r>
      <w:r w:rsidR="004B5058">
        <w:fldChar w:fldCharType="begin" w:fldLock="1"/>
      </w:r>
      <w:r w:rsidR="004B5058">
        <w:instrText>ADDIN CSL_CITATION {"citationItems":[{"id":"ITEM-1","itemData":{"DOI":"10.2458/56.17454","abstract":"An important advance in the radiocarbon dating of archaeological material occurred in the late 1990s, with direct dating of cremated human remains. A crucial part of the argument was the demonstration that comparable results could be obtained from paired dates of charcoal and calcined bone from the same contexts. Recent studies, however, have noted the influence of carbon from the fuel sources, raising a question over the interpretation of the paired charcoal/bone dates. Here, fleshed modern animal joints were burned with “old” fuel of known age, providing experimental evidence under nat- ural conditions, demonstrating a clear effect of the fuel source on the carbon isotopic composition of calcined bone. In most situations in which branchwood was used as fuel, dates on calcined bone should not show any significant offset, as the wood will be of a similar age to the cadaver. For cases in which old wood, coal, or peat are used as fuel, we expect an offset of some decades/centuries, potentially up to millennia. We observed, however, that the amount of 14 C intake from the fuel is extremely variable (from 39 to 95%). A strong correlation between age offset and δ13 C values suggests that the latter might be useful in identifying large inputs from 14 C-depleted fuels. A level of caution is recommended when 14 C dating calcined bone in cases where fuels with an inbuilt age may have been used in the cremation process.","author":[{"dropping-particle":"","family":"Snoeck","given":"Christophe","non-dropping-particle":"","parse-names":false,"suffix":""},{"dropping-particle":"","family":"Brock","given":"F","non-dropping-particle":"","parse-names":false,"suffix":""},{"dropping-particle":"","family":"Schulting","given":"Rick J","non-dropping-particle":"","parse-names":false,"suffix":""}],"container-title":"Radiocarbon","id":"ITEM-1","issue":"2","issued":{"date-parts":[["2014"]]},"page":"591-602","title":"Carbon Exchanges between bone apatite and fuels during cremation: impact on radiocarbon dates","type":"article-journal","volume":"56"},"uris":["http://www.mendeley.com/documents/?uuid=12ca9118-0560-4343-b4f2-320460de149f"]},{"id":"ITEM-2","itemData":{"author":[{"dropping-particle":"","family":"Dani","given":"Janos","non-dropping-particle":"","parse-names":false,"suffix":""},{"dropping-particle":"","family":"Kulcsár","given":"Gabriella","non-dropping-particle":"","parse-names":false,"suffix":""},{"dropping-particle":"","family":"Major","given":"I.","non-dropping-particle":"","parse-names":false,"suffix":""},{"dropping-particle":"","family":"Melis","given":"Eszter","non-dropping-particle":"","parse-names":false,"suffix":""},{"dropping-particle":"","family":"Patay","given":"Róbert","non-dropping-particle":"","parse-names":false,"suffix":""},{"dropping-particle":"","family":"Szabó","given":"Geza","non-dropping-particle":"","parse-names":false,"suffix":""},{"dropping-particle":"","family":"Váczi","given":"Gabor","non-dropping-particle":"","parse-names":false,"suffix":""},{"dropping-particle":"","family":"Kiss","given":"Viktória","non-dropping-particle":"","parse-names":false,"suffix":""}],"container-title":"Bridging Science and Heritage in the Balkans: Studies in archaeometry, cultural heritage restoration and conservation Science and Heritage in the Balkans: Studies in archaeometry, cultural heritage restoration and conservation. Proceedings ofthe Fifth Bal","editor":[{"dropping-particle":"","family":"Palincaş","given":"N","non-dropping-particle":"","parse-names":false,"suffix":""},{"dropping-particle":"","family":"Ponta","given":"C C","non-dropping-particle":"","parse-names":false,"suffix":""}],"id":"ITEM-2","issued":{"date-parts":[["2019"]]},"page":"29-37","publisher":"Archaeopress","publisher-place":"Oxford","title":"Case studies for the dating of Bronze Age cremation burials from Hungary","type":"paper-conference"},"uris":["http://www.mendeley.com/documents/?uuid=b5d29a25-64b9-4916-ae83-01b66a9acdfd"]},{"id":"ITEM-3","itemData":{"DOI":"10.1017/RDC.2018.41","ISSN":"00338222","abstract":"A comparative study was undertaken to adopt and evaluate a radiocarbon ( 14 C) preparation procedure for accelerator mass spectrometry (AMS) measurements of cremated bones at our laboratory, including different types of archaeological samples (cremated bone, bone, charcoal, charred grain). All 14 C analyses were performed using the EnvironMICADAS AMS instrument at the Hertelendi Laboratory of Environmental Studies (HEKAL) and the ancillary analyses were also performed at the Institute for Nuclear Research (ATOMKI). After the physical and chemical cleaning of cremated bones, CO2 was extracted by acid hydrolysis followed by sealed-tube graphitization and 14 C measurement. The supplementary δ 13 C measurements were also performed on CO2 gas while FTIR was measured on the powder fraction. Based on the FTIR and 14 C analyses, our chemical pretreatment protocol was successful in removing contamination from the samples. Good reproducibility was obtained for the 0.2-0.3 mm fraction of blind-tested cremated samples and a maximum age difference of only 150 yr was found for the remaining case studies. This confirms the reliability of our procedure for 14 C dating of cremated bones. However, in one case study, the age difference of 300 yr between two cremated fragments originating from the same urn shows that other processes affecting the cremated samples in the post-burial environment can substantially influence the 14 C age, so caution must be exercised.","author":[{"dropping-particle":"","family":"Major","given":"István","non-dropping-particle":"","parse-names":false,"suffix":""},{"dropping-particle":"","family":"Dani","given":"János","non-dropping-particle":"","parse-names":false,"suffix":""},{"dropping-particle":"","family":"Kiss","given":"Viktória","non-dropping-particle":"","parse-names":false,"suffix":""},{"dropping-particle":"","family":"Melis","given":"Eszter","non-dropping-particle":"","parse-names":false,"suffix":""},{"dropping-particle":"","family":"Patay","given":"Róbert","non-dropping-particle":"","parse-names":false,"suffix":""},{"dropping-particle":"","family":"Szabó","given":"Géza","non-dropping-particle":"","parse-names":false,"suffix":""},{"dropping-particle":"","family":"Hubay","given":"Katalin","non-dropping-particle":"","parse-names":false,"suffix":""},{"dropping-particle":"","family":"Túri","given":"Marianna","non-dropping-particle":"","parse-names":false,"suffix":""},{"dropping-particle":"","family":"Futó","given":"István","non-dropping-particle":"","parse-names":false,"suffix":""},{"dropping-particle":"","family":"Huszánk","given":"Róbert","non-dropping-particle":"","parse-names":false,"suffix":""},{"dropping-particle":"","family":"Jull","given":"A. J.Timothy","non-dropping-particle":"","parse-names":false,"suffix":""},{"dropping-particle":"","family":"Molnár","given":"Mihály","non-dropping-particle":"","parse-names":false,"suffix":""}],"container-title":"Radiocarbon","id":"ITEM-3","issue":"1","issued":{"date-parts":[["2019"]]},"page":"159-171","title":"Adoption and evaluation of a sample pretreatment protocol for radiocarbon dating of cremated bones at HEKAL","type":"article-journal","volume":"61"},"uris":["http://www.mendeley.com/documents/?uuid=96208fcb-9ac8-4fba-a877-90b5c4c148fd"]}],"mendeley":{"formattedCitation":"(Snoeck, Brock and Schulting, 2014; Dani &lt;i&gt;et al.&lt;/i&gt;, 2019; Major &lt;i&gt;et al.&lt;/i&gt;, 2019)","plainTextFormattedCitation":"(Snoeck, Brock and Schulting, 2014; Dani et al., 2019; Major et al., 2019)","previouslyFormattedCitation":"(Snoeck, Brock and Schulting, 2014; Dani &lt;i&gt;et al.&lt;/i&gt;, 2019; Major &lt;i&gt;et al.&lt;/i&gt;, 2019)"},"properties":{"noteIndex":0},"schema":"https://github.com/citation-style-language/schema/raw/master/csl-citation.json"}</w:instrText>
      </w:r>
      <w:r w:rsidR="004B5058">
        <w:fldChar w:fldCharType="separate"/>
      </w:r>
      <w:r w:rsidR="004B5058" w:rsidRPr="004B5058">
        <w:rPr>
          <w:noProof/>
        </w:rPr>
        <w:t xml:space="preserve">(Snoeck, Brock and Schulting, 2014; Dani </w:t>
      </w:r>
      <w:r w:rsidR="004B5058" w:rsidRPr="004B5058">
        <w:rPr>
          <w:i/>
          <w:noProof/>
        </w:rPr>
        <w:t>et al.</w:t>
      </w:r>
      <w:r w:rsidR="004B5058" w:rsidRPr="004B5058">
        <w:rPr>
          <w:noProof/>
        </w:rPr>
        <w:t xml:space="preserve">, 2019; Major </w:t>
      </w:r>
      <w:r w:rsidR="004B5058" w:rsidRPr="004B5058">
        <w:rPr>
          <w:i/>
          <w:noProof/>
        </w:rPr>
        <w:t>et al.</w:t>
      </w:r>
      <w:r w:rsidR="004B5058" w:rsidRPr="004B5058">
        <w:rPr>
          <w:noProof/>
        </w:rPr>
        <w:t>, 2019)</w:t>
      </w:r>
      <w:r w:rsidR="004B5058">
        <w:fldChar w:fldCharType="end"/>
      </w:r>
      <w:r>
        <w:t>.</w:t>
      </w:r>
      <w:r w:rsidRPr="00F03C45">
        <w:t xml:space="preserve"> </w:t>
      </w:r>
      <w:r>
        <w:t>In our case crema</w:t>
      </w:r>
      <w:r w:rsidR="004B5058">
        <w:t>ted remains</w:t>
      </w:r>
      <w:r>
        <w:t xml:space="preserve"> provided somewhat later dates for “phase 1” and “phase 2” between 1870 and 1450 BC, e.g. burial 241 were dated between 1740 and 1500 BC, while grave 64 of the cemetery excavated at </w:t>
      </w:r>
      <w:proofErr w:type="spellStart"/>
      <w:r>
        <w:t>Szőreg</w:t>
      </w:r>
      <w:proofErr w:type="spellEnd"/>
      <w:r>
        <w:t xml:space="preserve"> (of the </w:t>
      </w:r>
      <w:proofErr w:type="spellStart"/>
      <w:r>
        <w:t>Maros</w:t>
      </w:r>
      <w:proofErr w:type="spellEnd"/>
      <w:r>
        <w:t xml:space="preserve"> culture) containing a similar bone needle and contemporaneous with our “phase 1”, was recently dated between 2030 and 1960 BC</w:t>
      </w:r>
      <w:r w:rsidR="004B5058">
        <w:t xml:space="preserve"> </w:t>
      </w:r>
      <w:r w:rsidR="004B5058">
        <w:fldChar w:fldCharType="begin" w:fldLock="1"/>
      </w:r>
      <w:r w:rsidR="004B5058">
        <w:instrText>ADDIN CSL_CITATION {"citationItems":[{"id":"ITEM-1","itemData":{"author":[{"dropping-particle":"","family":"Bóna","given":"Istvan","non-dropping-particle":"","parse-names":false,"suffix":""}],"id":"ITEM-1","issued":{"date-parts":[["1975"]]},"publisher":"Akadémiai Kiadó","publisher-place":"Budapest","title":"Die mittlere Bronzezeit Ungarns und ihre Südöstlichen Beziehungen","type":"book"},"label":"folio","locator":"119.14","uris":["http://www.mendeley.com/documents/?uuid=6f43acf8-3f3d-4db5-9928-a2c9faade359"]},{"id":"ITEM-2","itemData":{"DOI":"10.15184/aqy.2019.40","ISSN":"0003-598X","abstract":"    Radiocarbon dating is paramount for chronologically defining the rise of polities in the Middle Bronze Age Carpathian Basin. This article presents a suite of new radiocarbon dates obtained from sites associated with the Early and Middle Bronze Age Maros Group, and its Late Bronze Age successors in the Tisza-Maros region of south-east Hungary, western Romania and northern Serbia. The results indicate tight chronological synchronisation of Middle Bronze Age settlements and cemeteries in the Maros region, while confirming the accuracy of ceramic-based relative chronology for the Szőreg cemetery.","author":[{"dropping-particle":"","family":"O'Shea","given":"John M.","non-dropping-particle":"","parse-names":false,"suffix":""},{"dropping-particle":"","family":"Parditka","given":"Györgyi","non-dropping-particle":"","parse-names":false,"suffix":""},{"dropping-particle":"","family":"Nicodemus","given":"Amy","non-dropping-particle":"","parse-names":false,"suffix":""},{"dropping-particle":"","family":"Kristiansen","given":"Kristian","non-dropping-particle":"","parse-names":false,"suffix":""},{"dropping-particle":"","family":"Sjögren","given":"Karl-Göran","non-dropping-particle":"","parse-names":false,"suffix":""},{"dropping-particle":"","family":"Paja","given":"László","non-dropping-particle":"","parse-names":false,"suffix":""},{"dropping-particle":"","family":"Pálfi","given":"György","non-dropping-particle":"","parse-names":false,"suffix":""},{"dropping-particle":"","family":"Milašinović","given":"Lidija","non-dropping-particle":"","parse-names":false,"suffix":""}],"container-title":"Antiquity","id":"ITEM-2","issue":"369","issued":{"date-parts":[["2019"]]},"page":"604-623","title":"Social formation and collapse in the Tisza-Maros region: dating the Maros Group and its Late Bronze Age successors","type":"article-journal","volume":"93"},"uris":["http://www.mendeley.com/documents/?uuid=3b27efd7-1235-43f8-84c8-b4722786fbf1"]}],"mendeley":{"formattedCitation":"(Bóna, 1975, fol. 119.14; O’Shea &lt;i&gt;et al.&lt;/i&gt;, 2019)","plainTextFormattedCitation":"(Bóna, 1975, fol. 119.14; O’Shea et al., 2019)","previouslyFormattedCitation":"(Bóna, 1975, fol. 119.14)"},"properties":{"noteIndex":0},"schema":"https://github.com/citation-style-language/schema/raw/master/csl-citation.json"}</w:instrText>
      </w:r>
      <w:r w:rsidR="004B5058">
        <w:fldChar w:fldCharType="separate"/>
      </w:r>
      <w:r w:rsidR="004B5058" w:rsidRPr="004B5058">
        <w:rPr>
          <w:noProof/>
        </w:rPr>
        <w:t xml:space="preserve">(Bóna, 1975, fol. 119.14; O’Shea </w:t>
      </w:r>
      <w:r w:rsidR="004B5058" w:rsidRPr="004B5058">
        <w:rPr>
          <w:i/>
          <w:noProof/>
        </w:rPr>
        <w:t>et al.</w:t>
      </w:r>
      <w:r w:rsidR="004B5058" w:rsidRPr="004B5058">
        <w:rPr>
          <w:noProof/>
        </w:rPr>
        <w:t>, 2019)</w:t>
      </w:r>
      <w:r w:rsidR="004B5058">
        <w:fldChar w:fldCharType="end"/>
      </w:r>
      <w:r w:rsidR="004B5058">
        <w:t xml:space="preserve">. On the contrary, inhumations do not show </w:t>
      </w:r>
      <w:proofErr w:type="gramStart"/>
      <w:r w:rsidR="004B5058">
        <w:t>particular issues</w:t>
      </w:r>
      <w:proofErr w:type="gramEnd"/>
      <w:r w:rsidR="004B5058">
        <w:t xml:space="preserve"> and can therefore be considered reliable.</w:t>
      </w:r>
    </w:p>
    <w:tbl>
      <w:tblPr>
        <w:tblStyle w:val="Tabellasemplice-1"/>
        <w:tblW w:w="9965" w:type="dxa"/>
        <w:tblLayout w:type="fixed"/>
        <w:tblLook w:val="0400" w:firstRow="0" w:lastRow="0" w:firstColumn="0" w:lastColumn="0" w:noHBand="0" w:noVBand="1"/>
      </w:tblPr>
      <w:tblGrid>
        <w:gridCol w:w="1206"/>
        <w:gridCol w:w="2039"/>
        <w:gridCol w:w="706"/>
        <w:gridCol w:w="684"/>
        <w:gridCol w:w="985"/>
        <w:gridCol w:w="1673"/>
        <w:gridCol w:w="2672"/>
      </w:tblGrid>
      <w:tr w:rsidR="00C6162F" w14:paraId="7AC76084" w14:textId="37A189F4" w:rsidTr="00A84211">
        <w:trPr>
          <w:cnfStyle w:val="000000100000" w:firstRow="0" w:lastRow="0" w:firstColumn="0" w:lastColumn="0" w:oddVBand="0" w:evenVBand="0" w:oddHBand="1" w:evenHBand="0" w:firstRowFirstColumn="0" w:firstRowLastColumn="0" w:lastRowFirstColumn="0" w:lastRowLastColumn="0"/>
          <w:trHeight w:val="283"/>
        </w:trPr>
        <w:tc>
          <w:tcPr>
            <w:tcW w:w="1206" w:type="dxa"/>
            <w:vAlign w:val="center"/>
          </w:tcPr>
          <w:p w14:paraId="599A89AB" w14:textId="77777777" w:rsidR="003C1C1B" w:rsidRPr="0025714C" w:rsidRDefault="003C1C1B" w:rsidP="0025714C">
            <w:pPr>
              <w:rPr>
                <w:b/>
                <w:sz w:val="20"/>
                <w:szCs w:val="20"/>
              </w:rPr>
            </w:pPr>
            <w:r w:rsidRPr="0025714C">
              <w:rPr>
                <w:b/>
                <w:sz w:val="20"/>
                <w:szCs w:val="20"/>
              </w:rPr>
              <w:t xml:space="preserve">Grave N. </w:t>
            </w:r>
          </w:p>
        </w:tc>
        <w:tc>
          <w:tcPr>
            <w:tcW w:w="0" w:type="dxa"/>
            <w:vAlign w:val="center"/>
          </w:tcPr>
          <w:p w14:paraId="024F4D43" w14:textId="442A073F" w:rsidR="003C1C1B" w:rsidRPr="0025714C" w:rsidRDefault="003C1C1B" w:rsidP="00C6162F">
            <w:pPr>
              <w:rPr>
                <w:b/>
                <w:sz w:val="20"/>
                <w:szCs w:val="20"/>
              </w:rPr>
            </w:pPr>
            <w:r>
              <w:rPr>
                <w:b/>
                <w:sz w:val="20"/>
                <w:szCs w:val="20"/>
              </w:rPr>
              <w:t xml:space="preserve">AMS </w:t>
            </w:r>
            <w:r w:rsidRPr="00A84211">
              <w:rPr>
                <w:b/>
                <w:sz w:val="20"/>
                <w:szCs w:val="20"/>
                <w:vertAlign w:val="superscript"/>
              </w:rPr>
              <w:t>14</w:t>
            </w:r>
            <w:r w:rsidRPr="003C1C1B">
              <w:rPr>
                <w:b/>
                <w:sz w:val="20"/>
                <w:szCs w:val="20"/>
              </w:rPr>
              <w:t>C</w:t>
            </w:r>
            <w:r>
              <w:rPr>
                <w:b/>
                <w:sz w:val="20"/>
                <w:szCs w:val="20"/>
              </w:rPr>
              <w:t xml:space="preserve"> lab. code</w:t>
            </w:r>
          </w:p>
        </w:tc>
        <w:tc>
          <w:tcPr>
            <w:tcW w:w="0" w:type="dxa"/>
            <w:vAlign w:val="center"/>
          </w:tcPr>
          <w:p w14:paraId="18A04D46" w14:textId="2513C3E7" w:rsidR="003C1C1B" w:rsidRPr="0025714C" w:rsidRDefault="003C1C1B" w:rsidP="0025714C">
            <w:pPr>
              <w:rPr>
                <w:b/>
                <w:sz w:val="20"/>
                <w:szCs w:val="20"/>
              </w:rPr>
            </w:pPr>
            <w:r w:rsidRPr="0025714C">
              <w:rPr>
                <w:b/>
                <w:sz w:val="20"/>
                <w:szCs w:val="20"/>
              </w:rPr>
              <w:t>Rite</w:t>
            </w:r>
          </w:p>
        </w:tc>
        <w:tc>
          <w:tcPr>
            <w:tcW w:w="0" w:type="dxa"/>
            <w:vAlign w:val="center"/>
          </w:tcPr>
          <w:p w14:paraId="58C13C56" w14:textId="77777777" w:rsidR="003C1C1B" w:rsidRPr="0025714C" w:rsidRDefault="003C1C1B" w:rsidP="0025714C">
            <w:pPr>
              <w:rPr>
                <w:b/>
                <w:sz w:val="20"/>
                <w:szCs w:val="20"/>
              </w:rPr>
            </w:pPr>
            <w:r w:rsidRPr="0025714C">
              <w:rPr>
                <w:b/>
                <w:sz w:val="20"/>
                <w:szCs w:val="20"/>
              </w:rPr>
              <w:t>Sex</w:t>
            </w:r>
          </w:p>
        </w:tc>
        <w:tc>
          <w:tcPr>
            <w:tcW w:w="0" w:type="dxa"/>
            <w:vAlign w:val="center"/>
          </w:tcPr>
          <w:p w14:paraId="08349B25" w14:textId="77777777" w:rsidR="003C1C1B" w:rsidRPr="0025714C" w:rsidRDefault="003C1C1B" w:rsidP="0025714C">
            <w:pPr>
              <w:rPr>
                <w:b/>
                <w:sz w:val="20"/>
                <w:szCs w:val="20"/>
              </w:rPr>
            </w:pPr>
            <w:r w:rsidRPr="0025714C">
              <w:rPr>
                <w:b/>
                <w:sz w:val="20"/>
                <w:szCs w:val="20"/>
              </w:rPr>
              <w:t>Age</w:t>
            </w:r>
          </w:p>
        </w:tc>
        <w:tc>
          <w:tcPr>
            <w:tcW w:w="0" w:type="dxa"/>
            <w:vAlign w:val="center"/>
          </w:tcPr>
          <w:p w14:paraId="65307D22" w14:textId="4AC8BD1D" w:rsidR="003C1C1B" w:rsidRPr="0025714C" w:rsidRDefault="003C1C1B" w:rsidP="0025714C">
            <w:pPr>
              <w:rPr>
                <w:b/>
                <w:sz w:val="20"/>
                <w:szCs w:val="20"/>
              </w:rPr>
            </w:pPr>
            <w:r w:rsidRPr="0025714C">
              <w:rPr>
                <w:b/>
                <w:sz w:val="20"/>
                <w:szCs w:val="20"/>
              </w:rPr>
              <w:t>2σ cal.</w:t>
            </w:r>
          </w:p>
        </w:tc>
        <w:tc>
          <w:tcPr>
            <w:tcW w:w="0" w:type="dxa"/>
            <w:vAlign w:val="center"/>
          </w:tcPr>
          <w:p w14:paraId="4B362F1B" w14:textId="3D9D73B2" w:rsidR="003C1C1B" w:rsidRPr="0025714C" w:rsidRDefault="003C1C1B" w:rsidP="0025714C">
            <w:pPr>
              <w:rPr>
                <w:b/>
                <w:sz w:val="20"/>
                <w:szCs w:val="20"/>
              </w:rPr>
            </w:pPr>
            <w:r>
              <w:rPr>
                <w:b/>
                <w:sz w:val="20"/>
                <w:szCs w:val="20"/>
              </w:rPr>
              <w:t>Phase (</w:t>
            </w:r>
            <w:proofErr w:type="spellStart"/>
            <w:r>
              <w:rPr>
                <w:b/>
                <w:sz w:val="20"/>
                <w:szCs w:val="20"/>
              </w:rPr>
              <w:t>chronotypology</w:t>
            </w:r>
            <w:proofErr w:type="spellEnd"/>
            <w:r>
              <w:rPr>
                <w:b/>
                <w:sz w:val="20"/>
                <w:szCs w:val="20"/>
              </w:rPr>
              <w:t>)</w:t>
            </w:r>
          </w:p>
        </w:tc>
      </w:tr>
      <w:tr w:rsidR="00C6162F" w14:paraId="7BADDDAD" w14:textId="77777777" w:rsidTr="00C6162F">
        <w:trPr>
          <w:trHeight w:val="283"/>
        </w:trPr>
        <w:tc>
          <w:tcPr>
            <w:tcW w:w="1206" w:type="dxa"/>
            <w:vAlign w:val="center"/>
          </w:tcPr>
          <w:p w14:paraId="56E3D927" w14:textId="77777777" w:rsidR="003C1C1B" w:rsidRPr="0025714C" w:rsidRDefault="003C1C1B" w:rsidP="00EF3990">
            <w:pPr>
              <w:rPr>
                <w:sz w:val="20"/>
                <w:szCs w:val="20"/>
              </w:rPr>
            </w:pPr>
            <w:r w:rsidRPr="0025714C">
              <w:rPr>
                <w:sz w:val="20"/>
                <w:szCs w:val="20"/>
              </w:rPr>
              <w:t>190</w:t>
            </w:r>
          </w:p>
        </w:tc>
        <w:tc>
          <w:tcPr>
            <w:tcW w:w="2039" w:type="dxa"/>
          </w:tcPr>
          <w:p w14:paraId="227C5763" w14:textId="504437EC" w:rsidR="003C1C1B" w:rsidRPr="0025714C" w:rsidRDefault="00C6162F" w:rsidP="00EF3990">
            <w:pPr>
              <w:rPr>
                <w:sz w:val="20"/>
                <w:szCs w:val="20"/>
              </w:rPr>
            </w:pPr>
            <w:r w:rsidRPr="00C6162F">
              <w:rPr>
                <w:sz w:val="20"/>
                <w:szCs w:val="20"/>
              </w:rPr>
              <w:t>DeA-26794</w:t>
            </w:r>
          </w:p>
        </w:tc>
        <w:tc>
          <w:tcPr>
            <w:tcW w:w="706" w:type="dxa"/>
            <w:vAlign w:val="center"/>
          </w:tcPr>
          <w:p w14:paraId="7E0E8EF2" w14:textId="3753BCBC" w:rsidR="003C1C1B" w:rsidRPr="0025714C" w:rsidRDefault="003C1C1B" w:rsidP="00EF3990">
            <w:pPr>
              <w:rPr>
                <w:sz w:val="20"/>
                <w:szCs w:val="20"/>
              </w:rPr>
            </w:pPr>
            <w:r w:rsidRPr="0025714C">
              <w:rPr>
                <w:sz w:val="20"/>
                <w:szCs w:val="20"/>
              </w:rPr>
              <w:t>I</w:t>
            </w:r>
          </w:p>
        </w:tc>
        <w:tc>
          <w:tcPr>
            <w:tcW w:w="684" w:type="dxa"/>
            <w:vAlign w:val="center"/>
          </w:tcPr>
          <w:p w14:paraId="0F8EDBB1" w14:textId="77777777" w:rsidR="003C1C1B" w:rsidRPr="0025714C" w:rsidRDefault="003C1C1B" w:rsidP="00EF3990">
            <w:pPr>
              <w:rPr>
                <w:sz w:val="20"/>
                <w:szCs w:val="20"/>
              </w:rPr>
            </w:pPr>
            <w:r w:rsidRPr="0025714C">
              <w:rPr>
                <w:sz w:val="20"/>
                <w:szCs w:val="20"/>
              </w:rPr>
              <w:t>U</w:t>
            </w:r>
          </w:p>
        </w:tc>
        <w:tc>
          <w:tcPr>
            <w:tcW w:w="985" w:type="dxa"/>
            <w:vAlign w:val="center"/>
          </w:tcPr>
          <w:p w14:paraId="768EDFDA" w14:textId="77777777" w:rsidR="003C1C1B" w:rsidRPr="0025714C" w:rsidRDefault="003C1C1B" w:rsidP="00EF3990">
            <w:pPr>
              <w:rPr>
                <w:sz w:val="20"/>
                <w:szCs w:val="20"/>
              </w:rPr>
            </w:pPr>
            <w:r w:rsidRPr="0025714C">
              <w:rPr>
                <w:sz w:val="20"/>
                <w:szCs w:val="20"/>
              </w:rPr>
              <w:t>30-40</w:t>
            </w:r>
          </w:p>
        </w:tc>
        <w:tc>
          <w:tcPr>
            <w:tcW w:w="1673" w:type="dxa"/>
            <w:vAlign w:val="center"/>
          </w:tcPr>
          <w:p w14:paraId="622EA421" w14:textId="77777777" w:rsidR="003C1C1B" w:rsidRPr="0025714C" w:rsidRDefault="003C1C1B" w:rsidP="00EF3990">
            <w:pPr>
              <w:rPr>
                <w:color w:val="000000"/>
                <w:sz w:val="20"/>
                <w:szCs w:val="20"/>
                <w:lang w:val="hu-HU"/>
              </w:rPr>
            </w:pPr>
            <w:r w:rsidRPr="0025714C">
              <w:rPr>
                <w:color w:val="000000"/>
                <w:sz w:val="20"/>
                <w:szCs w:val="20"/>
                <w:lang w:val="hu-HU"/>
              </w:rPr>
              <w:t xml:space="preserve">1550-1290 BC </w:t>
            </w:r>
          </w:p>
        </w:tc>
        <w:tc>
          <w:tcPr>
            <w:tcW w:w="2672" w:type="dxa"/>
            <w:vAlign w:val="center"/>
          </w:tcPr>
          <w:p w14:paraId="325B8298" w14:textId="77777777" w:rsidR="003C1C1B" w:rsidRPr="0025714C" w:rsidRDefault="003C1C1B" w:rsidP="00EF3990">
            <w:pPr>
              <w:rPr>
                <w:color w:val="000000"/>
                <w:sz w:val="20"/>
                <w:szCs w:val="20"/>
                <w:lang w:val="hu-HU"/>
              </w:rPr>
            </w:pPr>
            <w:r w:rsidRPr="0025714C">
              <w:rPr>
                <w:color w:val="000000"/>
                <w:sz w:val="20"/>
                <w:szCs w:val="20"/>
                <w:lang w:val="hu-HU"/>
              </w:rPr>
              <w:t>NA</w:t>
            </w:r>
          </w:p>
        </w:tc>
      </w:tr>
      <w:tr w:rsidR="00C6162F" w14:paraId="4AFAD768" w14:textId="5FFEEF7E" w:rsidTr="00A84211">
        <w:trPr>
          <w:cnfStyle w:val="000000100000" w:firstRow="0" w:lastRow="0" w:firstColumn="0" w:lastColumn="0" w:oddVBand="0" w:evenVBand="0" w:oddHBand="1" w:evenHBand="0" w:firstRowFirstColumn="0" w:firstRowLastColumn="0" w:lastRowFirstColumn="0" w:lastRowLastColumn="0"/>
          <w:trHeight w:val="283"/>
        </w:trPr>
        <w:tc>
          <w:tcPr>
            <w:tcW w:w="1206" w:type="dxa"/>
            <w:vAlign w:val="center"/>
          </w:tcPr>
          <w:p w14:paraId="45CD554D" w14:textId="77777777" w:rsidR="003C1C1B" w:rsidRPr="0025714C" w:rsidRDefault="003C1C1B" w:rsidP="0025714C">
            <w:pPr>
              <w:rPr>
                <w:sz w:val="20"/>
                <w:szCs w:val="20"/>
              </w:rPr>
            </w:pPr>
            <w:r w:rsidRPr="0025714C">
              <w:rPr>
                <w:sz w:val="20"/>
                <w:szCs w:val="20"/>
              </w:rPr>
              <w:t>224</w:t>
            </w:r>
          </w:p>
        </w:tc>
        <w:tc>
          <w:tcPr>
            <w:tcW w:w="0" w:type="dxa"/>
          </w:tcPr>
          <w:p w14:paraId="53E54DFF" w14:textId="44922963" w:rsidR="003C1C1B" w:rsidRPr="0025714C" w:rsidRDefault="00C6162F" w:rsidP="0025714C">
            <w:pPr>
              <w:rPr>
                <w:sz w:val="20"/>
                <w:szCs w:val="20"/>
              </w:rPr>
            </w:pPr>
            <w:r w:rsidRPr="00C6162F">
              <w:rPr>
                <w:sz w:val="20"/>
                <w:szCs w:val="20"/>
              </w:rPr>
              <w:t>DeA-27289</w:t>
            </w:r>
          </w:p>
        </w:tc>
        <w:tc>
          <w:tcPr>
            <w:tcW w:w="0" w:type="dxa"/>
            <w:vAlign w:val="center"/>
          </w:tcPr>
          <w:p w14:paraId="714E48A1" w14:textId="17312857" w:rsidR="003C1C1B" w:rsidRPr="0025714C" w:rsidRDefault="003C1C1B" w:rsidP="0025714C">
            <w:pPr>
              <w:rPr>
                <w:sz w:val="20"/>
                <w:szCs w:val="20"/>
              </w:rPr>
            </w:pPr>
            <w:r w:rsidRPr="0025714C">
              <w:rPr>
                <w:sz w:val="20"/>
                <w:szCs w:val="20"/>
              </w:rPr>
              <w:t>C</w:t>
            </w:r>
          </w:p>
        </w:tc>
        <w:tc>
          <w:tcPr>
            <w:tcW w:w="0" w:type="dxa"/>
            <w:vAlign w:val="center"/>
          </w:tcPr>
          <w:p w14:paraId="63454AA3" w14:textId="77777777" w:rsidR="003C1C1B" w:rsidRPr="0025714C" w:rsidRDefault="003C1C1B" w:rsidP="0025714C">
            <w:pPr>
              <w:rPr>
                <w:sz w:val="20"/>
                <w:szCs w:val="20"/>
              </w:rPr>
            </w:pPr>
            <w:r w:rsidRPr="0025714C">
              <w:rPr>
                <w:sz w:val="20"/>
                <w:szCs w:val="20"/>
              </w:rPr>
              <w:t>F</w:t>
            </w:r>
          </w:p>
        </w:tc>
        <w:tc>
          <w:tcPr>
            <w:tcW w:w="0" w:type="dxa"/>
            <w:vAlign w:val="center"/>
          </w:tcPr>
          <w:p w14:paraId="744D3CAF" w14:textId="77777777" w:rsidR="003C1C1B" w:rsidRPr="0025714C" w:rsidRDefault="003C1C1B" w:rsidP="0025714C">
            <w:pPr>
              <w:rPr>
                <w:sz w:val="20"/>
                <w:szCs w:val="20"/>
              </w:rPr>
            </w:pPr>
            <w:r w:rsidRPr="0025714C">
              <w:rPr>
                <w:sz w:val="20"/>
                <w:szCs w:val="20"/>
              </w:rPr>
              <w:t>20-40</w:t>
            </w:r>
          </w:p>
        </w:tc>
        <w:tc>
          <w:tcPr>
            <w:tcW w:w="0" w:type="dxa"/>
            <w:vAlign w:val="center"/>
          </w:tcPr>
          <w:p w14:paraId="613B7E38" w14:textId="77777777" w:rsidR="003C1C1B" w:rsidRPr="0025714C" w:rsidRDefault="003C1C1B" w:rsidP="0025714C">
            <w:pPr>
              <w:rPr>
                <w:sz w:val="20"/>
                <w:szCs w:val="20"/>
              </w:rPr>
            </w:pPr>
            <w:r w:rsidRPr="0025714C">
              <w:rPr>
                <w:color w:val="000000"/>
                <w:sz w:val="20"/>
                <w:szCs w:val="20"/>
                <w:lang w:val="hu-HU"/>
              </w:rPr>
              <w:t>1630-1430 BC</w:t>
            </w:r>
          </w:p>
        </w:tc>
        <w:tc>
          <w:tcPr>
            <w:tcW w:w="0" w:type="dxa"/>
            <w:vAlign w:val="center"/>
          </w:tcPr>
          <w:p w14:paraId="52369A3A" w14:textId="00123DD3" w:rsidR="003C1C1B" w:rsidRPr="0025714C" w:rsidRDefault="003C1C1B" w:rsidP="0025714C">
            <w:pPr>
              <w:rPr>
                <w:sz w:val="20"/>
                <w:szCs w:val="20"/>
              </w:rPr>
            </w:pPr>
            <w:r w:rsidRPr="0025714C">
              <w:rPr>
                <w:sz w:val="20"/>
                <w:szCs w:val="20"/>
              </w:rPr>
              <w:t>3</w:t>
            </w:r>
          </w:p>
        </w:tc>
      </w:tr>
      <w:tr w:rsidR="00C6162F" w14:paraId="30EED223" w14:textId="13C77AAA" w:rsidTr="00C6162F">
        <w:trPr>
          <w:trHeight w:val="283"/>
        </w:trPr>
        <w:tc>
          <w:tcPr>
            <w:tcW w:w="1206" w:type="dxa"/>
            <w:vAlign w:val="center"/>
          </w:tcPr>
          <w:p w14:paraId="6492C756" w14:textId="170CAFCE" w:rsidR="003C1C1B" w:rsidRPr="0025714C" w:rsidRDefault="003C1C1B" w:rsidP="0025714C">
            <w:pPr>
              <w:rPr>
                <w:sz w:val="20"/>
                <w:szCs w:val="20"/>
              </w:rPr>
            </w:pPr>
            <w:r w:rsidRPr="0025714C">
              <w:rPr>
                <w:sz w:val="20"/>
                <w:szCs w:val="20"/>
              </w:rPr>
              <w:t>241a</w:t>
            </w:r>
          </w:p>
        </w:tc>
        <w:tc>
          <w:tcPr>
            <w:tcW w:w="2039" w:type="dxa"/>
          </w:tcPr>
          <w:p w14:paraId="2F3E845A" w14:textId="305A5459" w:rsidR="003C1C1B" w:rsidRPr="0025714C" w:rsidRDefault="00C6162F" w:rsidP="0025714C">
            <w:pPr>
              <w:rPr>
                <w:sz w:val="20"/>
                <w:szCs w:val="20"/>
              </w:rPr>
            </w:pPr>
            <w:r w:rsidRPr="00C6162F">
              <w:rPr>
                <w:sz w:val="20"/>
                <w:szCs w:val="20"/>
              </w:rPr>
              <w:t>DeA-27290</w:t>
            </w:r>
          </w:p>
        </w:tc>
        <w:tc>
          <w:tcPr>
            <w:tcW w:w="706" w:type="dxa"/>
            <w:vAlign w:val="center"/>
          </w:tcPr>
          <w:p w14:paraId="6DF61AA9" w14:textId="1EEE18EA" w:rsidR="003C1C1B" w:rsidRPr="0025714C" w:rsidRDefault="003C1C1B" w:rsidP="0025714C">
            <w:pPr>
              <w:rPr>
                <w:sz w:val="20"/>
                <w:szCs w:val="20"/>
              </w:rPr>
            </w:pPr>
            <w:r w:rsidRPr="0025714C">
              <w:rPr>
                <w:sz w:val="20"/>
                <w:szCs w:val="20"/>
              </w:rPr>
              <w:t>C</w:t>
            </w:r>
          </w:p>
        </w:tc>
        <w:tc>
          <w:tcPr>
            <w:tcW w:w="684" w:type="dxa"/>
            <w:vAlign w:val="center"/>
          </w:tcPr>
          <w:p w14:paraId="1569BF3B" w14:textId="7A2B6F70" w:rsidR="003C1C1B" w:rsidRPr="0025714C" w:rsidRDefault="003C1C1B" w:rsidP="0025714C">
            <w:pPr>
              <w:rPr>
                <w:sz w:val="20"/>
                <w:szCs w:val="20"/>
              </w:rPr>
            </w:pPr>
            <w:r w:rsidRPr="0025714C">
              <w:rPr>
                <w:sz w:val="20"/>
                <w:szCs w:val="20"/>
              </w:rPr>
              <w:t>F</w:t>
            </w:r>
          </w:p>
        </w:tc>
        <w:tc>
          <w:tcPr>
            <w:tcW w:w="985" w:type="dxa"/>
            <w:vAlign w:val="center"/>
          </w:tcPr>
          <w:p w14:paraId="14D9FB66" w14:textId="2730C481" w:rsidR="003C1C1B" w:rsidRPr="0025714C" w:rsidRDefault="003C1C1B" w:rsidP="0025714C">
            <w:pPr>
              <w:rPr>
                <w:sz w:val="20"/>
                <w:szCs w:val="20"/>
              </w:rPr>
            </w:pPr>
            <w:r w:rsidRPr="0025714C">
              <w:rPr>
                <w:sz w:val="20"/>
                <w:szCs w:val="20"/>
              </w:rPr>
              <w:t>25-35</w:t>
            </w:r>
          </w:p>
        </w:tc>
        <w:tc>
          <w:tcPr>
            <w:tcW w:w="1673" w:type="dxa"/>
            <w:vAlign w:val="center"/>
          </w:tcPr>
          <w:p w14:paraId="098E3E0B" w14:textId="7073DE1E" w:rsidR="003C1C1B" w:rsidRPr="0025714C" w:rsidRDefault="003C1C1B" w:rsidP="0025714C">
            <w:pPr>
              <w:rPr>
                <w:sz w:val="20"/>
                <w:szCs w:val="20"/>
              </w:rPr>
            </w:pPr>
            <w:r w:rsidRPr="0025714C">
              <w:rPr>
                <w:color w:val="000000"/>
                <w:sz w:val="20"/>
                <w:szCs w:val="20"/>
                <w:lang w:val="hu-HU"/>
              </w:rPr>
              <w:t>1740-1500 BC</w:t>
            </w:r>
          </w:p>
        </w:tc>
        <w:tc>
          <w:tcPr>
            <w:tcW w:w="2672" w:type="dxa"/>
            <w:vAlign w:val="center"/>
          </w:tcPr>
          <w:p w14:paraId="66B98C32" w14:textId="56DA8A6A" w:rsidR="003C1C1B" w:rsidRPr="0025714C" w:rsidRDefault="003C1C1B" w:rsidP="0025714C">
            <w:pPr>
              <w:rPr>
                <w:sz w:val="20"/>
                <w:szCs w:val="20"/>
              </w:rPr>
            </w:pPr>
            <w:r w:rsidRPr="0025714C">
              <w:rPr>
                <w:sz w:val="20"/>
                <w:szCs w:val="20"/>
              </w:rPr>
              <w:t>1</w:t>
            </w:r>
          </w:p>
        </w:tc>
      </w:tr>
      <w:tr w:rsidR="00C6162F" w14:paraId="57D57DF5" w14:textId="77443C18" w:rsidTr="00A84211">
        <w:trPr>
          <w:cnfStyle w:val="000000100000" w:firstRow="0" w:lastRow="0" w:firstColumn="0" w:lastColumn="0" w:oddVBand="0" w:evenVBand="0" w:oddHBand="1" w:evenHBand="0" w:firstRowFirstColumn="0" w:firstRowLastColumn="0" w:lastRowFirstColumn="0" w:lastRowLastColumn="0"/>
          <w:trHeight w:val="283"/>
        </w:trPr>
        <w:tc>
          <w:tcPr>
            <w:tcW w:w="1206" w:type="dxa"/>
            <w:vAlign w:val="center"/>
          </w:tcPr>
          <w:p w14:paraId="53E2AF4D" w14:textId="77777777" w:rsidR="003C1C1B" w:rsidRPr="0025714C" w:rsidRDefault="003C1C1B" w:rsidP="0025714C">
            <w:pPr>
              <w:rPr>
                <w:sz w:val="20"/>
                <w:szCs w:val="20"/>
              </w:rPr>
            </w:pPr>
            <w:r w:rsidRPr="0025714C">
              <w:rPr>
                <w:sz w:val="20"/>
                <w:szCs w:val="20"/>
              </w:rPr>
              <w:t>350</w:t>
            </w:r>
          </w:p>
        </w:tc>
        <w:tc>
          <w:tcPr>
            <w:tcW w:w="0" w:type="dxa"/>
          </w:tcPr>
          <w:p w14:paraId="173144C1" w14:textId="349D0C17" w:rsidR="003C1C1B" w:rsidRPr="0025714C" w:rsidRDefault="00C6162F" w:rsidP="0025714C">
            <w:pPr>
              <w:rPr>
                <w:sz w:val="20"/>
                <w:szCs w:val="20"/>
              </w:rPr>
            </w:pPr>
            <w:r w:rsidRPr="00C6162F">
              <w:rPr>
                <w:sz w:val="20"/>
                <w:szCs w:val="20"/>
              </w:rPr>
              <w:t>DeA-27291</w:t>
            </w:r>
          </w:p>
        </w:tc>
        <w:tc>
          <w:tcPr>
            <w:tcW w:w="0" w:type="dxa"/>
            <w:vAlign w:val="center"/>
          </w:tcPr>
          <w:p w14:paraId="3A6C1190" w14:textId="0C684525" w:rsidR="003C1C1B" w:rsidRPr="0025714C" w:rsidRDefault="003C1C1B" w:rsidP="0025714C">
            <w:pPr>
              <w:rPr>
                <w:sz w:val="20"/>
                <w:szCs w:val="20"/>
              </w:rPr>
            </w:pPr>
            <w:r w:rsidRPr="0025714C">
              <w:rPr>
                <w:sz w:val="20"/>
                <w:szCs w:val="20"/>
              </w:rPr>
              <w:t>C</w:t>
            </w:r>
          </w:p>
        </w:tc>
        <w:tc>
          <w:tcPr>
            <w:tcW w:w="0" w:type="dxa"/>
            <w:vAlign w:val="center"/>
          </w:tcPr>
          <w:p w14:paraId="5EEA8D10" w14:textId="77777777" w:rsidR="003C1C1B" w:rsidRPr="0025714C" w:rsidRDefault="003C1C1B" w:rsidP="0025714C">
            <w:pPr>
              <w:rPr>
                <w:sz w:val="20"/>
                <w:szCs w:val="20"/>
              </w:rPr>
            </w:pPr>
            <w:r w:rsidRPr="0025714C">
              <w:rPr>
                <w:sz w:val="20"/>
                <w:szCs w:val="20"/>
              </w:rPr>
              <w:t>U</w:t>
            </w:r>
          </w:p>
        </w:tc>
        <w:tc>
          <w:tcPr>
            <w:tcW w:w="0" w:type="dxa"/>
            <w:vAlign w:val="center"/>
          </w:tcPr>
          <w:p w14:paraId="67329127" w14:textId="77777777" w:rsidR="003C1C1B" w:rsidRPr="0025714C" w:rsidRDefault="003C1C1B" w:rsidP="0025714C">
            <w:pPr>
              <w:rPr>
                <w:sz w:val="20"/>
                <w:szCs w:val="20"/>
              </w:rPr>
            </w:pPr>
            <w:r w:rsidRPr="0025714C">
              <w:rPr>
                <w:sz w:val="20"/>
                <w:szCs w:val="20"/>
              </w:rPr>
              <w:t>c. 5</w:t>
            </w:r>
          </w:p>
        </w:tc>
        <w:tc>
          <w:tcPr>
            <w:tcW w:w="0" w:type="dxa"/>
            <w:vAlign w:val="center"/>
          </w:tcPr>
          <w:p w14:paraId="4312D53E" w14:textId="77777777" w:rsidR="003C1C1B" w:rsidRPr="0025714C" w:rsidRDefault="003C1C1B" w:rsidP="0025714C">
            <w:pPr>
              <w:rPr>
                <w:sz w:val="20"/>
                <w:szCs w:val="20"/>
              </w:rPr>
            </w:pPr>
            <w:r w:rsidRPr="0025714C">
              <w:rPr>
                <w:color w:val="000000"/>
                <w:sz w:val="20"/>
                <w:szCs w:val="20"/>
                <w:lang w:val="hu-HU"/>
              </w:rPr>
              <w:t>1500-1260 BC</w:t>
            </w:r>
          </w:p>
        </w:tc>
        <w:tc>
          <w:tcPr>
            <w:tcW w:w="0" w:type="dxa"/>
            <w:vAlign w:val="center"/>
          </w:tcPr>
          <w:p w14:paraId="0FC24E12" w14:textId="18FCD848" w:rsidR="003C1C1B" w:rsidRPr="0025714C" w:rsidRDefault="003C1C1B" w:rsidP="0025714C">
            <w:pPr>
              <w:rPr>
                <w:sz w:val="20"/>
                <w:szCs w:val="20"/>
              </w:rPr>
            </w:pPr>
            <w:r w:rsidRPr="0025714C">
              <w:rPr>
                <w:sz w:val="20"/>
                <w:szCs w:val="20"/>
              </w:rPr>
              <w:t>2</w:t>
            </w:r>
          </w:p>
        </w:tc>
      </w:tr>
      <w:tr w:rsidR="00C6162F" w14:paraId="161E421C" w14:textId="2C39CB01" w:rsidTr="00C6162F">
        <w:trPr>
          <w:trHeight w:val="283"/>
        </w:trPr>
        <w:tc>
          <w:tcPr>
            <w:tcW w:w="1206" w:type="dxa"/>
            <w:vAlign w:val="center"/>
          </w:tcPr>
          <w:p w14:paraId="3373878E" w14:textId="77777777" w:rsidR="00C6162F" w:rsidRPr="0025714C" w:rsidRDefault="00C6162F" w:rsidP="00C6162F">
            <w:pPr>
              <w:rPr>
                <w:sz w:val="20"/>
                <w:szCs w:val="20"/>
              </w:rPr>
            </w:pPr>
            <w:r w:rsidRPr="0025714C">
              <w:rPr>
                <w:sz w:val="20"/>
                <w:szCs w:val="20"/>
              </w:rPr>
              <w:t>433</w:t>
            </w:r>
          </w:p>
        </w:tc>
        <w:tc>
          <w:tcPr>
            <w:tcW w:w="2039" w:type="dxa"/>
          </w:tcPr>
          <w:p w14:paraId="7BE629AC" w14:textId="4506C505" w:rsidR="00C6162F" w:rsidRPr="0025714C" w:rsidRDefault="00C6162F" w:rsidP="00C6162F">
            <w:pPr>
              <w:rPr>
                <w:sz w:val="20"/>
                <w:szCs w:val="20"/>
              </w:rPr>
            </w:pPr>
            <w:r w:rsidRPr="008E3E52">
              <w:rPr>
                <w:sz w:val="20"/>
                <w:szCs w:val="20"/>
              </w:rPr>
              <w:t>DeA-2729</w:t>
            </w:r>
            <w:r>
              <w:rPr>
                <w:sz w:val="20"/>
                <w:szCs w:val="20"/>
              </w:rPr>
              <w:t>2</w:t>
            </w:r>
          </w:p>
        </w:tc>
        <w:tc>
          <w:tcPr>
            <w:tcW w:w="706" w:type="dxa"/>
            <w:vAlign w:val="center"/>
          </w:tcPr>
          <w:p w14:paraId="72241B43" w14:textId="58276F50" w:rsidR="00C6162F" w:rsidRPr="0025714C" w:rsidRDefault="00C6162F" w:rsidP="00C6162F">
            <w:pPr>
              <w:rPr>
                <w:sz w:val="20"/>
                <w:szCs w:val="20"/>
              </w:rPr>
            </w:pPr>
            <w:r w:rsidRPr="0025714C">
              <w:rPr>
                <w:sz w:val="20"/>
                <w:szCs w:val="20"/>
              </w:rPr>
              <w:t>C</w:t>
            </w:r>
          </w:p>
        </w:tc>
        <w:tc>
          <w:tcPr>
            <w:tcW w:w="684" w:type="dxa"/>
            <w:vAlign w:val="center"/>
          </w:tcPr>
          <w:p w14:paraId="6E36E0E2" w14:textId="77777777" w:rsidR="00C6162F" w:rsidRPr="0025714C" w:rsidRDefault="00C6162F" w:rsidP="00C6162F">
            <w:pPr>
              <w:rPr>
                <w:sz w:val="20"/>
                <w:szCs w:val="20"/>
              </w:rPr>
            </w:pPr>
            <w:r w:rsidRPr="0025714C">
              <w:rPr>
                <w:sz w:val="20"/>
                <w:szCs w:val="20"/>
              </w:rPr>
              <w:t>U</w:t>
            </w:r>
          </w:p>
        </w:tc>
        <w:tc>
          <w:tcPr>
            <w:tcW w:w="985" w:type="dxa"/>
            <w:vAlign w:val="center"/>
          </w:tcPr>
          <w:p w14:paraId="4A5E2E92" w14:textId="5C6C58AA" w:rsidR="00C6162F" w:rsidRPr="0025714C" w:rsidRDefault="00C6162F" w:rsidP="00C6162F">
            <w:pPr>
              <w:rPr>
                <w:sz w:val="20"/>
                <w:szCs w:val="20"/>
              </w:rPr>
            </w:pPr>
            <w:r>
              <w:rPr>
                <w:sz w:val="20"/>
                <w:szCs w:val="20"/>
              </w:rPr>
              <w:t>20-40</w:t>
            </w:r>
          </w:p>
        </w:tc>
        <w:tc>
          <w:tcPr>
            <w:tcW w:w="1673" w:type="dxa"/>
            <w:vAlign w:val="center"/>
          </w:tcPr>
          <w:p w14:paraId="5A4510F2" w14:textId="77777777" w:rsidR="00C6162F" w:rsidRPr="0025714C" w:rsidRDefault="00C6162F" w:rsidP="00C6162F">
            <w:pPr>
              <w:rPr>
                <w:sz w:val="20"/>
                <w:szCs w:val="20"/>
              </w:rPr>
            </w:pPr>
            <w:r w:rsidRPr="0025714C">
              <w:rPr>
                <w:color w:val="000000"/>
                <w:sz w:val="20"/>
                <w:szCs w:val="20"/>
                <w:lang w:val="hu-HU"/>
              </w:rPr>
              <w:t>1630-1420 BC</w:t>
            </w:r>
          </w:p>
        </w:tc>
        <w:tc>
          <w:tcPr>
            <w:tcW w:w="2672" w:type="dxa"/>
            <w:vAlign w:val="center"/>
          </w:tcPr>
          <w:p w14:paraId="402D9D43" w14:textId="3702061E" w:rsidR="00C6162F" w:rsidRPr="0025714C" w:rsidRDefault="00C6162F" w:rsidP="00C6162F">
            <w:r w:rsidRPr="0025714C">
              <w:t>3</w:t>
            </w:r>
          </w:p>
        </w:tc>
      </w:tr>
      <w:tr w:rsidR="00C6162F" w14:paraId="58682EE3" w14:textId="30F6DA26" w:rsidTr="00A84211">
        <w:trPr>
          <w:cnfStyle w:val="000000100000" w:firstRow="0" w:lastRow="0" w:firstColumn="0" w:lastColumn="0" w:oddVBand="0" w:evenVBand="0" w:oddHBand="1" w:evenHBand="0" w:firstRowFirstColumn="0" w:firstRowLastColumn="0" w:lastRowFirstColumn="0" w:lastRowLastColumn="0"/>
          <w:trHeight w:val="283"/>
        </w:trPr>
        <w:tc>
          <w:tcPr>
            <w:tcW w:w="1206" w:type="dxa"/>
            <w:vAlign w:val="center"/>
          </w:tcPr>
          <w:p w14:paraId="510CFFF9" w14:textId="77777777" w:rsidR="00C6162F" w:rsidRPr="0025714C" w:rsidRDefault="00C6162F" w:rsidP="00C6162F">
            <w:pPr>
              <w:rPr>
                <w:sz w:val="20"/>
                <w:szCs w:val="20"/>
              </w:rPr>
            </w:pPr>
            <w:r w:rsidRPr="0025714C">
              <w:rPr>
                <w:sz w:val="20"/>
                <w:szCs w:val="20"/>
              </w:rPr>
              <w:t>440</w:t>
            </w:r>
          </w:p>
        </w:tc>
        <w:tc>
          <w:tcPr>
            <w:tcW w:w="0" w:type="dxa"/>
          </w:tcPr>
          <w:p w14:paraId="0600C0A7" w14:textId="1E8E97BA" w:rsidR="00C6162F" w:rsidRPr="0025714C" w:rsidRDefault="00C6162F" w:rsidP="00C6162F">
            <w:pPr>
              <w:rPr>
                <w:sz w:val="20"/>
                <w:szCs w:val="20"/>
              </w:rPr>
            </w:pPr>
            <w:r w:rsidRPr="008E3E52">
              <w:rPr>
                <w:sz w:val="20"/>
                <w:szCs w:val="20"/>
              </w:rPr>
              <w:t>DeA-2729</w:t>
            </w:r>
            <w:r>
              <w:rPr>
                <w:sz w:val="20"/>
                <w:szCs w:val="20"/>
              </w:rPr>
              <w:t>3</w:t>
            </w:r>
          </w:p>
        </w:tc>
        <w:tc>
          <w:tcPr>
            <w:tcW w:w="0" w:type="dxa"/>
            <w:vAlign w:val="center"/>
          </w:tcPr>
          <w:p w14:paraId="7AC4D2B0" w14:textId="47D9B4FA" w:rsidR="00C6162F" w:rsidRPr="0025714C" w:rsidRDefault="00C6162F" w:rsidP="00C6162F">
            <w:pPr>
              <w:rPr>
                <w:sz w:val="20"/>
                <w:szCs w:val="20"/>
              </w:rPr>
            </w:pPr>
            <w:r w:rsidRPr="0025714C">
              <w:rPr>
                <w:sz w:val="20"/>
                <w:szCs w:val="20"/>
              </w:rPr>
              <w:t>C</w:t>
            </w:r>
          </w:p>
        </w:tc>
        <w:tc>
          <w:tcPr>
            <w:tcW w:w="0" w:type="dxa"/>
            <w:vAlign w:val="center"/>
          </w:tcPr>
          <w:p w14:paraId="6BD3A4F8" w14:textId="77777777" w:rsidR="00C6162F" w:rsidRPr="0025714C" w:rsidRDefault="00C6162F" w:rsidP="00C6162F">
            <w:pPr>
              <w:rPr>
                <w:sz w:val="20"/>
                <w:szCs w:val="20"/>
              </w:rPr>
            </w:pPr>
            <w:r w:rsidRPr="0025714C">
              <w:rPr>
                <w:sz w:val="20"/>
                <w:szCs w:val="20"/>
              </w:rPr>
              <w:t>M</w:t>
            </w:r>
          </w:p>
        </w:tc>
        <w:tc>
          <w:tcPr>
            <w:tcW w:w="0" w:type="dxa"/>
            <w:vAlign w:val="center"/>
          </w:tcPr>
          <w:p w14:paraId="316CA1D3" w14:textId="77777777" w:rsidR="00C6162F" w:rsidRPr="0025714C" w:rsidRDefault="00C6162F" w:rsidP="00C6162F">
            <w:pPr>
              <w:rPr>
                <w:sz w:val="20"/>
                <w:szCs w:val="20"/>
              </w:rPr>
            </w:pPr>
            <w:r w:rsidRPr="0025714C">
              <w:rPr>
                <w:sz w:val="20"/>
                <w:szCs w:val="20"/>
              </w:rPr>
              <w:t>20-30</w:t>
            </w:r>
          </w:p>
        </w:tc>
        <w:tc>
          <w:tcPr>
            <w:tcW w:w="0" w:type="dxa"/>
            <w:vAlign w:val="center"/>
          </w:tcPr>
          <w:p w14:paraId="32E5C3F7" w14:textId="77777777" w:rsidR="00C6162F" w:rsidRPr="0025714C" w:rsidRDefault="00C6162F" w:rsidP="00C6162F">
            <w:pPr>
              <w:rPr>
                <w:sz w:val="20"/>
                <w:szCs w:val="20"/>
              </w:rPr>
            </w:pPr>
            <w:r w:rsidRPr="0025714C">
              <w:rPr>
                <w:color w:val="000000"/>
                <w:sz w:val="20"/>
                <w:szCs w:val="20"/>
                <w:lang w:val="hu-HU"/>
              </w:rPr>
              <w:t>1740-1450 BC</w:t>
            </w:r>
          </w:p>
        </w:tc>
        <w:tc>
          <w:tcPr>
            <w:tcW w:w="0" w:type="dxa"/>
            <w:vAlign w:val="center"/>
          </w:tcPr>
          <w:p w14:paraId="091BB03C" w14:textId="63B17D12" w:rsidR="00C6162F" w:rsidRPr="0025714C" w:rsidRDefault="00C6162F" w:rsidP="00C6162F">
            <w:pPr>
              <w:rPr>
                <w:sz w:val="20"/>
                <w:szCs w:val="20"/>
              </w:rPr>
            </w:pPr>
            <w:r w:rsidRPr="0025714C">
              <w:rPr>
                <w:sz w:val="20"/>
                <w:szCs w:val="20"/>
              </w:rPr>
              <w:t>2</w:t>
            </w:r>
          </w:p>
        </w:tc>
      </w:tr>
      <w:tr w:rsidR="00C6162F" w14:paraId="108C222D" w14:textId="0644ABC4" w:rsidTr="00C6162F">
        <w:trPr>
          <w:trHeight w:val="283"/>
        </w:trPr>
        <w:tc>
          <w:tcPr>
            <w:tcW w:w="1206" w:type="dxa"/>
            <w:vAlign w:val="center"/>
          </w:tcPr>
          <w:p w14:paraId="2FDB8DDD" w14:textId="77777777" w:rsidR="00C6162F" w:rsidRPr="0025714C" w:rsidRDefault="00C6162F" w:rsidP="00C6162F">
            <w:pPr>
              <w:rPr>
                <w:sz w:val="20"/>
                <w:szCs w:val="20"/>
              </w:rPr>
            </w:pPr>
            <w:r w:rsidRPr="0025714C">
              <w:rPr>
                <w:sz w:val="20"/>
                <w:szCs w:val="20"/>
              </w:rPr>
              <w:t>449</w:t>
            </w:r>
          </w:p>
        </w:tc>
        <w:tc>
          <w:tcPr>
            <w:tcW w:w="2039" w:type="dxa"/>
          </w:tcPr>
          <w:p w14:paraId="14DC5913" w14:textId="6BAE8CC9" w:rsidR="00C6162F" w:rsidRPr="0025714C" w:rsidRDefault="00C6162F" w:rsidP="00C6162F">
            <w:pPr>
              <w:rPr>
                <w:sz w:val="20"/>
                <w:szCs w:val="20"/>
              </w:rPr>
            </w:pPr>
            <w:r w:rsidRPr="008E3E52">
              <w:rPr>
                <w:sz w:val="20"/>
                <w:szCs w:val="20"/>
              </w:rPr>
              <w:t>DeA-2729</w:t>
            </w:r>
            <w:r>
              <w:rPr>
                <w:sz w:val="20"/>
                <w:szCs w:val="20"/>
              </w:rPr>
              <w:t>4</w:t>
            </w:r>
          </w:p>
        </w:tc>
        <w:tc>
          <w:tcPr>
            <w:tcW w:w="706" w:type="dxa"/>
            <w:vAlign w:val="center"/>
          </w:tcPr>
          <w:p w14:paraId="14DE1122" w14:textId="65EB745F" w:rsidR="00C6162F" w:rsidRPr="0025714C" w:rsidRDefault="00C6162F" w:rsidP="00C6162F">
            <w:pPr>
              <w:rPr>
                <w:sz w:val="20"/>
                <w:szCs w:val="20"/>
              </w:rPr>
            </w:pPr>
            <w:r w:rsidRPr="0025714C">
              <w:rPr>
                <w:sz w:val="20"/>
                <w:szCs w:val="20"/>
              </w:rPr>
              <w:t>C</w:t>
            </w:r>
          </w:p>
        </w:tc>
        <w:tc>
          <w:tcPr>
            <w:tcW w:w="684" w:type="dxa"/>
            <w:vAlign w:val="center"/>
          </w:tcPr>
          <w:p w14:paraId="26440185" w14:textId="77777777" w:rsidR="00C6162F" w:rsidRPr="0025714C" w:rsidRDefault="00C6162F" w:rsidP="00C6162F">
            <w:pPr>
              <w:rPr>
                <w:sz w:val="20"/>
                <w:szCs w:val="20"/>
              </w:rPr>
            </w:pPr>
            <w:r w:rsidRPr="0025714C">
              <w:rPr>
                <w:sz w:val="20"/>
                <w:szCs w:val="20"/>
              </w:rPr>
              <w:t>U</w:t>
            </w:r>
          </w:p>
        </w:tc>
        <w:tc>
          <w:tcPr>
            <w:tcW w:w="985" w:type="dxa"/>
            <w:vAlign w:val="center"/>
          </w:tcPr>
          <w:p w14:paraId="19FB1FB0" w14:textId="77777777" w:rsidR="00C6162F" w:rsidRPr="0025714C" w:rsidRDefault="00C6162F" w:rsidP="00C6162F">
            <w:pPr>
              <w:rPr>
                <w:sz w:val="20"/>
                <w:szCs w:val="20"/>
              </w:rPr>
            </w:pPr>
            <w:r w:rsidRPr="0025714C">
              <w:rPr>
                <w:sz w:val="20"/>
                <w:szCs w:val="20"/>
              </w:rPr>
              <w:t>c. 5</w:t>
            </w:r>
          </w:p>
        </w:tc>
        <w:tc>
          <w:tcPr>
            <w:tcW w:w="1673" w:type="dxa"/>
            <w:vAlign w:val="center"/>
          </w:tcPr>
          <w:p w14:paraId="35370F43" w14:textId="77777777" w:rsidR="00C6162F" w:rsidRPr="0025714C" w:rsidRDefault="00C6162F" w:rsidP="00C6162F">
            <w:pPr>
              <w:rPr>
                <w:sz w:val="20"/>
                <w:szCs w:val="20"/>
              </w:rPr>
            </w:pPr>
            <w:r w:rsidRPr="0025714C">
              <w:rPr>
                <w:color w:val="000000"/>
                <w:sz w:val="20"/>
                <w:szCs w:val="20"/>
                <w:lang w:val="hu-HU"/>
              </w:rPr>
              <w:t>1750-1500 BC</w:t>
            </w:r>
          </w:p>
        </w:tc>
        <w:tc>
          <w:tcPr>
            <w:tcW w:w="2672" w:type="dxa"/>
            <w:vAlign w:val="center"/>
          </w:tcPr>
          <w:p w14:paraId="137E3A00" w14:textId="2B180304" w:rsidR="00C6162F" w:rsidRPr="0025714C" w:rsidRDefault="00C6162F" w:rsidP="00C6162F">
            <w:pPr>
              <w:rPr>
                <w:sz w:val="20"/>
                <w:szCs w:val="20"/>
              </w:rPr>
            </w:pPr>
            <w:r w:rsidRPr="0025714C">
              <w:rPr>
                <w:sz w:val="20"/>
                <w:szCs w:val="20"/>
              </w:rPr>
              <w:t>3</w:t>
            </w:r>
          </w:p>
        </w:tc>
      </w:tr>
      <w:tr w:rsidR="00C6162F" w14:paraId="3DF6BC1A" w14:textId="6C83C386" w:rsidTr="00A84211">
        <w:trPr>
          <w:cnfStyle w:val="000000100000" w:firstRow="0" w:lastRow="0" w:firstColumn="0" w:lastColumn="0" w:oddVBand="0" w:evenVBand="0" w:oddHBand="1" w:evenHBand="0" w:firstRowFirstColumn="0" w:firstRowLastColumn="0" w:lastRowFirstColumn="0" w:lastRowLastColumn="0"/>
          <w:trHeight w:val="283"/>
        </w:trPr>
        <w:tc>
          <w:tcPr>
            <w:tcW w:w="1206" w:type="dxa"/>
            <w:vAlign w:val="center"/>
          </w:tcPr>
          <w:p w14:paraId="6B07C53A" w14:textId="77777777" w:rsidR="00C6162F" w:rsidRPr="0025714C" w:rsidRDefault="00C6162F" w:rsidP="00C6162F">
            <w:pPr>
              <w:rPr>
                <w:sz w:val="20"/>
                <w:szCs w:val="20"/>
              </w:rPr>
            </w:pPr>
            <w:r w:rsidRPr="0025714C">
              <w:rPr>
                <w:sz w:val="20"/>
                <w:szCs w:val="20"/>
              </w:rPr>
              <w:t>459</w:t>
            </w:r>
          </w:p>
        </w:tc>
        <w:tc>
          <w:tcPr>
            <w:tcW w:w="0" w:type="dxa"/>
          </w:tcPr>
          <w:p w14:paraId="35BE66B6" w14:textId="3D994D44" w:rsidR="00C6162F" w:rsidRPr="0025714C" w:rsidRDefault="00C6162F" w:rsidP="00C6162F">
            <w:pPr>
              <w:rPr>
                <w:sz w:val="20"/>
                <w:szCs w:val="20"/>
              </w:rPr>
            </w:pPr>
            <w:r w:rsidRPr="008E3E52">
              <w:rPr>
                <w:sz w:val="20"/>
                <w:szCs w:val="20"/>
              </w:rPr>
              <w:t>DeA-2729</w:t>
            </w:r>
            <w:r>
              <w:rPr>
                <w:sz w:val="20"/>
                <w:szCs w:val="20"/>
              </w:rPr>
              <w:t>5</w:t>
            </w:r>
          </w:p>
        </w:tc>
        <w:tc>
          <w:tcPr>
            <w:tcW w:w="0" w:type="dxa"/>
            <w:vAlign w:val="center"/>
          </w:tcPr>
          <w:p w14:paraId="24263AB5" w14:textId="6451EB57" w:rsidR="00C6162F" w:rsidRPr="0025714C" w:rsidRDefault="00C6162F" w:rsidP="00C6162F">
            <w:pPr>
              <w:rPr>
                <w:sz w:val="20"/>
                <w:szCs w:val="20"/>
              </w:rPr>
            </w:pPr>
            <w:r w:rsidRPr="0025714C">
              <w:rPr>
                <w:sz w:val="20"/>
                <w:szCs w:val="20"/>
              </w:rPr>
              <w:t>C</w:t>
            </w:r>
          </w:p>
        </w:tc>
        <w:tc>
          <w:tcPr>
            <w:tcW w:w="0" w:type="dxa"/>
            <w:vAlign w:val="center"/>
          </w:tcPr>
          <w:p w14:paraId="69A6F650" w14:textId="77777777" w:rsidR="00C6162F" w:rsidRPr="0025714C" w:rsidRDefault="00C6162F" w:rsidP="00C6162F">
            <w:pPr>
              <w:rPr>
                <w:sz w:val="20"/>
                <w:szCs w:val="20"/>
              </w:rPr>
            </w:pPr>
            <w:r w:rsidRPr="0025714C">
              <w:rPr>
                <w:sz w:val="20"/>
                <w:szCs w:val="20"/>
              </w:rPr>
              <w:t>F?</w:t>
            </w:r>
          </w:p>
        </w:tc>
        <w:tc>
          <w:tcPr>
            <w:tcW w:w="0" w:type="dxa"/>
            <w:vAlign w:val="center"/>
          </w:tcPr>
          <w:p w14:paraId="45443C9E" w14:textId="77777777" w:rsidR="00C6162F" w:rsidRPr="0025714C" w:rsidRDefault="00C6162F" w:rsidP="00C6162F">
            <w:pPr>
              <w:rPr>
                <w:sz w:val="20"/>
                <w:szCs w:val="20"/>
              </w:rPr>
            </w:pPr>
            <w:r w:rsidRPr="0025714C">
              <w:rPr>
                <w:sz w:val="20"/>
                <w:szCs w:val="20"/>
              </w:rPr>
              <w:t>18-25</w:t>
            </w:r>
          </w:p>
        </w:tc>
        <w:tc>
          <w:tcPr>
            <w:tcW w:w="0" w:type="dxa"/>
            <w:vAlign w:val="center"/>
          </w:tcPr>
          <w:p w14:paraId="6D1E3BFB" w14:textId="77777777" w:rsidR="00C6162F" w:rsidRPr="0025714C" w:rsidRDefault="00C6162F" w:rsidP="00C6162F">
            <w:pPr>
              <w:rPr>
                <w:sz w:val="20"/>
                <w:szCs w:val="20"/>
              </w:rPr>
            </w:pPr>
            <w:r w:rsidRPr="0025714C">
              <w:rPr>
                <w:color w:val="000000"/>
                <w:sz w:val="20"/>
                <w:szCs w:val="20"/>
                <w:lang w:val="hu-HU"/>
              </w:rPr>
              <w:t>1390-1050 BC</w:t>
            </w:r>
          </w:p>
        </w:tc>
        <w:tc>
          <w:tcPr>
            <w:tcW w:w="0" w:type="dxa"/>
            <w:vAlign w:val="center"/>
          </w:tcPr>
          <w:p w14:paraId="15F0EE5C" w14:textId="5338845F" w:rsidR="00C6162F" w:rsidRPr="0025714C" w:rsidRDefault="00C6162F" w:rsidP="00C6162F">
            <w:pPr>
              <w:rPr>
                <w:sz w:val="20"/>
                <w:szCs w:val="20"/>
              </w:rPr>
            </w:pPr>
            <w:r w:rsidRPr="0025714C">
              <w:rPr>
                <w:sz w:val="20"/>
                <w:szCs w:val="20"/>
              </w:rPr>
              <w:t>1</w:t>
            </w:r>
          </w:p>
        </w:tc>
      </w:tr>
      <w:tr w:rsidR="00C6162F" w14:paraId="047A2774" w14:textId="56F4EA81" w:rsidTr="00C6162F">
        <w:trPr>
          <w:trHeight w:val="283"/>
        </w:trPr>
        <w:tc>
          <w:tcPr>
            <w:tcW w:w="1206" w:type="dxa"/>
            <w:vAlign w:val="center"/>
          </w:tcPr>
          <w:p w14:paraId="3D9B0A76" w14:textId="77777777" w:rsidR="00C6162F" w:rsidRPr="0025714C" w:rsidRDefault="00C6162F" w:rsidP="00C6162F">
            <w:pPr>
              <w:rPr>
                <w:sz w:val="20"/>
                <w:szCs w:val="20"/>
              </w:rPr>
            </w:pPr>
            <w:r w:rsidRPr="0025714C">
              <w:rPr>
                <w:sz w:val="20"/>
                <w:szCs w:val="20"/>
              </w:rPr>
              <w:t>466</w:t>
            </w:r>
          </w:p>
        </w:tc>
        <w:tc>
          <w:tcPr>
            <w:tcW w:w="2039" w:type="dxa"/>
          </w:tcPr>
          <w:p w14:paraId="49731576" w14:textId="5A52B2C4" w:rsidR="00C6162F" w:rsidRPr="0025714C" w:rsidRDefault="00C6162F" w:rsidP="00C6162F">
            <w:pPr>
              <w:rPr>
                <w:sz w:val="20"/>
                <w:szCs w:val="20"/>
              </w:rPr>
            </w:pPr>
            <w:r w:rsidRPr="008E3E52">
              <w:rPr>
                <w:sz w:val="20"/>
                <w:szCs w:val="20"/>
              </w:rPr>
              <w:t>DeA-2729</w:t>
            </w:r>
            <w:r>
              <w:rPr>
                <w:sz w:val="20"/>
                <w:szCs w:val="20"/>
              </w:rPr>
              <w:t>6</w:t>
            </w:r>
          </w:p>
        </w:tc>
        <w:tc>
          <w:tcPr>
            <w:tcW w:w="706" w:type="dxa"/>
            <w:vAlign w:val="center"/>
          </w:tcPr>
          <w:p w14:paraId="7FED229C" w14:textId="6477227E" w:rsidR="00C6162F" w:rsidRPr="0025714C" w:rsidRDefault="00C6162F" w:rsidP="00C6162F">
            <w:pPr>
              <w:rPr>
                <w:sz w:val="20"/>
                <w:szCs w:val="20"/>
              </w:rPr>
            </w:pPr>
            <w:r w:rsidRPr="0025714C">
              <w:rPr>
                <w:sz w:val="20"/>
                <w:szCs w:val="20"/>
              </w:rPr>
              <w:t>C</w:t>
            </w:r>
          </w:p>
        </w:tc>
        <w:tc>
          <w:tcPr>
            <w:tcW w:w="684" w:type="dxa"/>
            <w:vAlign w:val="center"/>
          </w:tcPr>
          <w:p w14:paraId="4755C165" w14:textId="77777777" w:rsidR="00C6162F" w:rsidRPr="0025714C" w:rsidRDefault="00C6162F" w:rsidP="00C6162F">
            <w:pPr>
              <w:rPr>
                <w:sz w:val="20"/>
                <w:szCs w:val="20"/>
              </w:rPr>
            </w:pPr>
            <w:r w:rsidRPr="0025714C">
              <w:rPr>
                <w:sz w:val="20"/>
                <w:szCs w:val="20"/>
              </w:rPr>
              <w:t>F</w:t>
            </w:r>
          </w:p>
        </w:tc>
        <w:tc>
          <w:tcPr>
            <w:tcW w:w="985" w:type="dxa"/>
            <w:vAlign w:val="center"/>
          </w:tcPr>
          <w:p w14:paraId="3FE909F2" w14:textId="77777777" w:rsidR="00C6162F" w:rsidRPr="0025714C" w:rsidRDefault="00C6162F" w:rsidP="00C6162F">
            <w:pPr>
              <w:rPr>
                <w:sz w:val="20"/>
                <w:szCs w:val="20"/>
              </w:rPr>
            </w:pPr>
            <w:r w:rsidRPr="0025714C">
              <w:rPr>
                <w:sz w:val="20"/>
                <w:szCs w:val="20"/>
              </w:rPr>
              <w:t>15-20</w:t>
            </w:r>
          </w:p>
        </w:tc>
        <w:tc>
          <w:tcPr>
            <w:tcW w:w="1673" w:type="dxa"/>
            <w:vAlign w:val="center"/>
          </w:tcPr>
          <w:p w14:paraId="36F4F766" w14:textId="1DB11B91" w:rsidR="00C6162F" w:rsidRPr="0025714C" w:rsidRDefault="00A84211" w:rsidP="00C6162F">
            <w:pPr>
              <w:pStyle w:val="Default"/>
              <w:rPr>
                <w:rFonts w:ascii="Arial" w:hAnsi="Arial" w:cs="Arial"/>
                <w:sz w:val="20"/>
                <w:szCs w:val="20"/>
              </w:rPr>
            </w:pPr>
            <w:sdt>
              <w:sdtPr>
                <w:rPr>
                  <w:rFonts w:ascii="Arial" w:hAnsi="Arial" w:cs="Arial"/>
                </w:rPr>
                <w:tag w:val="goog_rdk_9"/>
                <w:id w:val="-378780410"/>
              </w:sdtPr>
              <w:sdtEndPr/>
              <w:sdtContent/>
            </w:sdt>
            <w:r w:rsidR="00C6162F" w:rsidRPr="0025714C">
              <w:rPr>
                <w:rFonts w:ascii="Arial" w:hAnsi="Arial" w:cs="Arial"/>
                <w:sz w:val="20"/>
                <w:szCs w:val="20"/>
              </w:rPr>
              <w:t>1750-1500 BC</w:t>
            </w:r>
          </w:p>
        </w:tc>
        <w:tc>
          <w:tcPr>
            <w:tcW w:w="2672" w:type="dxa"/>
            <w:vAlign w:val="center"/>
          </w:tcPr>
          <w:p w14:paraId="0CD541B7" w14:textId="3A3B1B23" w:rsidR="00C6162F" w:rsidRPr="0025714C" w:rsidRDefault="00C6162F" w:rsidP="00C6162F">
            <w:pPr>
              <w:pStyle w:val="Default"/>
              <w:rPr>
                <w:rFonts w:ascii="Arial" w:hAnsi="Arial" w:cs="Arial"/>
              </w:rPr>
            </w:pPr>
            <w:r w:rsidRPr="0025714C">
              <w:rPr>
                <w:rFonts w:ascii="Arial" w:hAnsi="Arial" w:cs="Arial"/>
              </w:rPr>
              <w:t>1</w:t>
            </w:r>
          </w:p>
        </w:tc>
      </w:tr>
      <w:tr w:rsidR="00C6162F" w14:paraId="57146FD1" w14:textId="77777777" w:rsidTr="00A84211">
        <w:trPr>
          <w:cnfStyle w:val="000000100000" w:firstRow="0" w:lastRow="0" w:firstColumn="0" w:lastColumn="0" w:oddVBand="0" w:evenVBand="0" w:oddHBand="1" w:evenHBand="0" w:firstRowFirstColumn="0" w:firstRowLastColumn="0" w:lastRowFirstColumn="0" w:lastRowLastColumn="0"/>
          <w:trHeight w:val="283"/>
        </w:trPr>
        <w:tc>
          <w:tcPr>
            <w:tcW w:w="1206" w:type="dxa"/>
            <w:vAlign w:val="center"/>
          </w:tcPr>
          <w:p w14:paraId="7649CA69" w14:textId="0E72F592" w:rsidR="00C6162F" w:rsidRPr="0025714C" w:rsidRDefault="00C6162F" w:rsidP="00C6162F">
            <w:pPr>
              <w:rPr>
                <w:sz w:val="20"/>
                <w:szCs w:val="20"/>
              </w:rPr>
            </w:pPr>
            <w:r w:rsidRPr="0025714C">
              <w:rPr>
                <w:sz w:val="20"/>
                <w:szCs w:val="20"/>
              </w:rPr>
              <w:t>480</w:t>
            </w:r>
          </w:p>
        </w:tc>
        <w:tc>
          <w:tcPr>
            <w:tcW w:w="0" w:type="dxa"/>
          </w:tcPr>
          <w:p w14:paraId="4CBB9A5D" w14:textId="03C89375" w:rsidR="00C6162F" w:rsidRPr="0025714C" w:rsidRDefault="00C6162F" w:rsidP="00C6162F">
            <w:pPr>
              <w:rPr>
                <w:sz w:val="20"/>
                <w:szCs w:val="20"/>
              </w:rPr>
            </w:pPr>
            <w:r w:rsidRPr="008E3E52">
              <w:rPr>
                <w:sz w:val="20"/>
                <w:szCs w:val="20"/>
              </w:rPr>
              <w:t>DeA-2729</w:t>
            </w:r>
            <w:r>
              <w:rPr>
                <w:sz w:val="20"/>
                <w:szCs w:val="20"/>
              </w:rPr>
              <w:t>7</w:t>
            </w:r>
          </w:p>
        </w:tc>
        <w:tc>
          <w:tcPr>
            <w:tcW w:w="0" w:type="dxa"/>
            <w:vAlign w:val="center"/>
          </w:tcPr>
          <w:p w14:paraId="07E70F4A" w14:textId="5F0B39F7" w:rsidR="00C6162F" w:rsidRPr="0025714C" w:rsidRDefault="00C6162F" w:rsidP="00C6162F">
            <w:pPr>
              <w:rPr>
                <w:sz w:val="20"/>
                <w:szCs w:val="20"/>
              </w:rPr>
            </w:pPr>
            <w:r w:rsidRPr="0025714C">
              <w:rPr>
                <w:sz w:val="20"/>
                <w:szCs w:val="20"/>
              </w:rPr>
              <w:t>C</w:t>
            </w:r>
          </w:p>
        </w:tc>
        <w:tc>
          <w:tcPr>
            <w:tcW w:w="0" w:type="dxa"/>
            <w:vAlign w:val="center"/>
          </w:tcPr>
          <w:p w14:paraId="46424826" w14:textId="1CE82250" w:rsidR="00C6162F" w:rsidRPr="0025714C" w:rsidRDefault="00C6162F" w:rsidP="00C6162F">
            <w:pPr>
              <w:rPr>
                <w:sz w:val="20"/>
                <w:szCs w:val="20"/>
              </w:rPr>
            </w:pPr>
            <w:r w:rsidRPr="0025714C">
              <w:rPr>
                <w:sz w:val="20"/>
                <w:szCs w:val="20"/>
              </w:rPr>
              <w:t>U</w:t>
            </w:r>
          </w:p>
        </w:tc>
        <w:tc>
          <w:tcPr>
            <w:tcW w:w="0" w:type="dxa"/>
            <w:vAlign w:val="center"/>
          </w:tcPr>
          <w:p w14:paraId="77D6B178" w14:textId="1079291D" w:rsidR="00C6162F" w:rsidRPr="0025714C" w:rsidRDefault="00C6162F" w:rsidP="00C6162F">
            <w:pPr>
              <w:rPr>
                <w:sz w:val="20"/>
                <w:szCs w:val="20"/>
              </w:rPr>
            </w:pPr>
            <w:r w:rsidRPr="0025714C">
              <w:rPr>
                <w:sz w:val="20"/>
                <w:szCs w:val="20"/>
              </w:rPr>
              <w:t>c. 6</w:t>
            </w:r>
          </w:p>
        </w:tc>
        <w:tc>
          <w:tcPr>
            <w:tcW w:w="0" w:type="dxa"/>
            <w:vAlign w:val="center"/>
          </w:tcPr>
          <w:p w14:paraId="0263365E" w14:textId="132AED0B" w:rsidR="00C6162F" w:rsidRPr="0025714C" w:rsidRDefault="00C6162F" w:rsidP="00C6162F">
            <w:pPr>
              <w:pStyle w:val="Default"/>
              <w:rPr>
                <w:rFonts w:ascii="Arial" w:hAnsi="Arial" w:cs="Arial"/>
              </w:rPr>
            </w:pPr>
            <w:r w:rsidRPr="0025714C">
              <w:rPr>
                <w:rFonts w:ascii="Arial" w:hAnsi="Arial" w:cs="Arial"/>
                <w:sz w:val="20"/>
                <w:szCs w:val="20"/>
              </w:rPr>
              <w:t>1870-1510 BC</w:t>
            </w:r>
          </w:p>
        </w:tc>
        <w:tc>
          <w:tcPr>
            <w:tcW w:w="0" w:type="dxa"/>
            <w:vAlign w:val="center"/>
          </w:tcPr>
          <w:p w14:paraId="33296BAC" w14:textId="70D4789D" w:rsidR="00C6162F" w:rsidRPr="0025714C" w:rsidRDefault="00C6162F" w:rsidP="00C6162F">
            <w:pPr>
              <w:pStyle w:val="Default"/>
              <w:rPr>
                <w:rFonts w:ascii="Arial" w:hAnsi="Arial" w:cs="Arial"/>
              </w:rPr>
            </w:pPr>
            <w:r w:rsidRPr="0025714C">
              <w:rPr>
                <w:rFonts w:ascii="Arial" w:hAnsi="Arial" w:cs="Arial"/>
                <w:sz w:val="20"/>
                <w:szCs w:val="20"/>
              </w:rPr>
              <w:t>2</w:t>
            </w:r>
          </w:p>
        </w:tc>
      </w:tr>
      <w:tr w:rsidR="00C6162F" w14:paraId="559AEA0F" w14:textId="256AED25" w:rsidTr="00C6162F">
        <w:trPr>
          <w:trHeight w:val="283"/>
        </w:trPr>
        <w:tc>
          <w:tcPr>
            <w:tcW w:w="1206" w:type="dxa"/>
            <w:vAlign w:val="center"/>
          </w:tcPr>
          <w:p w14:paraId="2E7F7893" w14:textId="77777777" w:rsidR="003C1C1B" w:rsidRPr="0025714C" w:rsidRDefault="003C1C1B" w:rsidP="0025714C">
            <w:pPr>
              <w:rPr>
                <w:sz w:val="20"/>
                <w:szCs w:val="20"/>
              </w:rPr>
            </w:pPr>
            <w:r w:rsidRPr="0025714C">
              <w:rPr>
                <w:sz w:val="20"/>
                <w:szCs w:val="20"/>
              </w:rPr>
              <w:t>489</w:t>
            </w:r>
          </w:p>
        </w:tc>
        <w:tc>
          <w:tcPr>
            <w:tcW w:w="2039" w:type="dxa"/>
          </w:tcPr>
          <w:p w14:paraId="11D97024" w14:textId="39552B85" w:rsidR="003C1C1B" w:rsidRPr="0025714C" w:rsidRDefault="00C6162F" w:rsidP="0025714C">
            <w:pPr>
              <w:rPr>
                <w:sz w:val="20"/>
                <w:szCs w:val="20"/>
              </w:rPr>
            </w:pPr>
            <w:r w:rsidRPr="00C6162F">
              <w:rPr>
                <w:sz w:val="20"/>
                <w:szCs w:val="20"/>
              </w:rPr>
              <w:t>DeA-27</w:t>
            </w:r>
            <w:r>
              <w:rPr>
                <w:sz w:val="20"/>
                <w:szCs w:val="20"/>
              </w:rPr>
              <w:t>411</w:t>
            </w:r>
          </w:p>
        </w:tc>
        <w:tc>
          <w:tcPr>
            <w:tcW w:w="706" w:type="dxa"/>
            <w:vAlign w:val="center"/>
          </w:tcPr>
          <w:p w14:paraId="6B416ADA" w14:textId="541DAF43" w:rsidR="003C1C1B" w:rsidRPr="0025714C" w:rsidRDefault="003C1C1B" w:rsidP="0025714C">
            <w:pPr>
              <w:rPr>
                <w:sz w:val="20"/>
                <w:szCs w:val="20"/>
              </w:rPr>
            </w:pPr>
            <w:r w:rsidRPr="0025714C">
              <w:rPr>
                <w:sz w:val="20"/>
                <w:szCs w:val="20"/>
              </w:rPr>
              <w:t>I</w:t>
            </w:r>
          </w:p>
        </w:tc>
        <w:tc>
          <w:tcPr>
            <w:tcW w:w="684" w:type="dxa"/>
            <w:vAlign w:val="center"/>
          </w:tcPr>
          <w:p w14:paraId="47AD2A07" w14:textId="77777777" w:rsidR="003C1C1B" w:rsidRPr="0025714C" w:rsidRDefault="003C1C1B" w:rsidP="0025714C">
            <w:pPr>
              <w:rPr>
                <w:sz w:val="20"/>
                <w:szCs w:val="20"/>
              </w:rPr>
            </w:pPr>
            <w:r w:rsidRPr="0025714C">
              <w:rPr>
                <w:sz w:val="20"/>
                <w:szCs w:val="20"/>
              </w:rPr>
              <w:t>U</w:t>
            </w:r>
          </w:p>
        </w:tc>
        <w:tc>
          <w:tcPr>
            <w:tcW w:w="985" w:type="dxa"/>
            <w:vAlign w:val="center"/>
          </w:tcPr>
          <w:p w14:paraId="593219B2" w14:textId="77777777" w:rsidR="003C1C1B" w:rsidRPr="0025714C" w:rsidRDefault="003C1C1B" w:rsidP="0025714C">
            <w:pPr>
              <w:rPr>
                <w:sz w:val="20"/>
                <w:szCs w:val="20"/>
              </w:rPr>
            </w:pPr>
            <w:r w:rsidRPr="0025714C">
              <w:rPr>
                <w:sz w:val="20"/>
                <w:szCs w:val="20"/>
              </w:rPr>
              <w:t>30-40</w:t>
            </w:r>
          </w:p>
        </w:tc>
        <w:tc>
          <w:tcPr>
            <w:tcW w:w="1673" w:type="dxa"/>
            <w:vAlign w:val="center"/>
          </w:tcPr>
          <w:p w14:paraId="033B8941" w14:textId="77777777" w:rsidR="003C1C1B" w:rsidRPr="0025714C" w:rsidRDefault="003C1C1B" w:rsidP="0025714C">
            <w:pPr>
              <w:rPr>
                <w:sz w:val="20"/>
                <w:szCs w:val="20"/>
              </w:rPr>
            </w:pPr>
            <w:r w:rsidRPr="0025714C">
              <w:rPr>
                <w:color w:val="000000"/>
                <w:sz w:val="20"/>
                <w:szCs w:val="20"/>
                <w:lang w:val="hu-HU"/>
              </w:rPr>
              <w:t>1690-1500 BC</w:t>
            </w:r>
          </w:p>
        </w:tc>
        <w:tc>
          <w:tcPr>
            <w:tcW w:w="2672" w:type="dxa"/>
            <w:vAlign w:val="center"/>
          </w:tcPr>
          <w:p w14:paraId="1218767E" w14:textId="3C5EECC7" w:rsidR="003C1C1B" w:rsidRPr="0025714C" w:rsidRDefault="003C1C1B" w:rsidP="0025714C">
            <w:pPr>
              <w:rPr>
                <w:sz w:val="20"/>
                <w:szCs w:val="20"/>
              </w:rPr>
            </w:pPr>
            <w:r w:rsidRPr="0025714C">
              <w:rPr>
                <w:sz w:val="20"/>
                <w:szCs w:val="20"/>
              </w:rPr>
              <w:t>NA</w:t>
            </w:r>
          </w:p>
        </w:tc>
      </w:tr>
    </w:tbl>
    <w:p w14:paraId="220B1D6E" w14:textId="2A2CF41D" w:rsidR="0025714C" w:rsidRDefault="0025714C" w:rsidP="0025714C">
      <w:pPr>
        <w:pStyle w:val="Didascalia"/>
      </w:pPr>
      <w:r>
        <w:t xml:space="preserve">Table </w:t>
      </w:r>
      <w:r>
        <w:fldChar w:fldCharType="begin"/>
      </w:r>
      <w:r>
        <w:instrText xml:space="preserve"> SEQ Table \* ARABIC </w:instrText>
      </w:r>
      <w:r>
        <w:fldChar w:fldCharType="separate"/>
      </w:r>
      <w:r>
        <w:rPr>
          <w:noProof/>
        </w:rPr>
        <w:t>1</w:t>
      </w:r>
      <w:r>
        <w:fldChar w:fldCharType="end"/>
      </w:r>
      <w:r>
        <w:t xml:space="preserve">. </w:t>
      </w:r>
      <w:r w:rsidR="00D933B8">
        <w:t>List of radiocarbon dates.</w:t>
      </w:r>
    </w:p>
    <w:p w14:paraId="3DCAD1C1" w14:textId="11D51E83" w:rsidR="00FA6CC5" w:rsidRDefault="0025714C" w:rsidP="00FA6CC5">
      <w:r>
        <w:rPr>
          <w:noProof/>
        </w:rPr>
        <w:lastRenderedPageBreak/>
        <w:drawing>
          <wp:inline distT="0" distB="0" distL="0" distR="0" wp14:anchorId="5B1D3970" wp14:editId="2232CC52">
            <wp:extent cx="4648200" cy="37444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4720" cy="3749663"/>
                    </a:xfrm>
                    <a:prstGeom prst="rect">
                      <a:avLst/>
                    </a:prstGeom>
                    <a:noFill/>
                    <a:ln>
                      <a:noFill/>
                    </a:ln>
                  </pic:spPr>
                </pic:pic>
              </a:graphicData>
            </a:graphic>
          </wp:inline>
        </w:drawing>
      </w:r>
    </w:p>
    <w:p w14:paraId="7F6910F0" w14:textId="08BD627E" w:rsidR="00D933B8" w:rsidRDefault="00A84211" w:rsidP="00D933B8">
      <w:pPr>
        <w:pStyle w:val="Didascalia"/>
      </w:pPr>
      <w:r>
        <w:t>Fig</w:t>
      </w:r>
      <w:r>
        <w:t xml:space="preserve"> </w:t>
      </w:r>
      <w:r w:rsidR="00D933B8">
        <w:fldChar w:fldCharType="begin"/>
      </w:r>
      <w:r w:rsidR="00D933B8">
        <w:instrText xml:space="preserve"> SEQ Table \* ARABIC </w:instrText>
      </w:r>
      <w:r w:rsidR="00D933B8">
        <w:fldChar w:fldCharType="separate"/>
      </w:r>
      <w:r w:rsidR="00D933B8">
        <w:rPr>
          <w:noProof/>
        </w:rPr>
        <w:t>1</w:t>
      </w:r>
      <w:r w:rsidR="00D933B8">
        <w:fldChar w:fldCharType="end"/>
      </w:r>
      <w:r w:rsidR="00D933B8">
        <w:t>. Sequence of radiocarbon dates. Colours represent the chronological phases identified on the basis of typology (red</w:t>
      </w:r>
      <w:proofErr w:type="gramStart"/>
      <w:r w:rsidR="00D933B8">
        <w:t>=“</w:t>
      </w:r>
      <w:proofErr w:type="gramEnd"/>
      <w:r w:rsidR="00D933B8">
        <w:t>phase 1”; orange=”phase 2”; yellow=”phase 3”; grey=”not datable”).</w:t>
      </w:r>
    </w:p>
    <w:p w14:paraId="38004E53" w14:textId="77777777" w:rsidR="0025714C" w:rsidRDefault="0025714C" w:rsidP="00FA6CC5"/>
    <w:sectPr w:rsidR="00257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97"/>
    <w:rsid w:val="0025714C"/>
    <w:rsid w:val="00281F97"/>
    <w:rsid w:val="003C1C1B"/>
    <w:rsid w:val="004B5058"/>
    <w:rsid w:val="00562F63"/>
    <w:rsid w:val="00650D20"/>
    <w:rsid w:val="00861D14"/>
    <w:rsid w:val="00A84211"/>
    <w:rsid w:val="00C6162F"/>
    <w:rsid w:val="00D933B8"/>
    <w:rsid w:val="00FA6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3E04"/>
  <w15:chartTrackingRefBased/>
  <w15:docId w15:val="{66B1BAD8-1CC0-4C37-891D-831D1FDE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6CC5"/>
    <w:rPr>
      <w:rFonts w:ascii="Arial" w:eastAsia="Arial" w:hAnsi="Arial" w:cs="Arial"/>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A6CC5"/>
    <w:pPr>
      <w:autoSpaceDE w:val="0"/>
      <w:autoSpaceDN w:val="0"/>
      <w:adjustRightInd w:val="0"/>
      <w:spacing w:after="0" w:line="240" w:lineRule="auto"/>
    </w:pPr>
    <w:rPr>
      <w:rFonts w:ascii="Times New Roman" w:hAnsi="Times New Roman" w:cs="Times New Roman"/>
      <w:color w:val="000000"/>
      <w:sz w:val="24"/>
      <w:szCs w:val="24"/>
      <w:lang w:val="hu-HU"/>
    </w:rPr>
  </w:style>
  <w:style w:type="table" w:customStyle="1" w:styleId="1">
    <w:name w:val="1"/>
    <w:basedOn w:val="Tabellanormale"/>
    <w:rsid w:val="00FA6CC5"/>
    <w:pPr>
      <w:spacing w:after="0" w:line="240" w:lineRule="auto"/>
    </w:pPr>
    <w:rPr>
      <w:rFonts w:ascii="Arial" w:eastAsia="Arial" w:hAnsi="Arial" w:cs="Arial"/>
      <w:lang w:val="en-GB" w:eastAsia="it-IT"/>
    </w:rPr>
    <w:tblPr>
      <w:tblStyleRowBandSize w:val="1"/>
      <w:tblStyleColBandSize w:val="1"/>
      <w:tblInd w:w="0" w:type="nil"/>
    </w:tblPr>
  </w:style>
  <w:style w:type="table" w:styleId="Tabellasemplice-1">
    <w:name w:val="Plain Table 1"/>
    <w:basedOn w:val="Tabellanormale"/>
    <w:uiPriority w:val="41"/>
    <w:rsid w:val="002571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dascalia">
    <w:name w:val="caption"/>
    <w:basedOn w:val="Normale"/>
    <w:next w:val="Normale"/>
    <w:uiPriority w:val="35"/>
    <w:unhideWhenUsed/>
    <w:qFormat/>
    <w:rsid w:val="0025714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94FF-489D-49F7-B23B-14F2877E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1875</Words>
  <Characters>10694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Cavazzuti</dc:creator>
  <cp:keywords/>
  <dc:description/>
  <cp:lastModifiedBy>Claudio Cavazzuti</cp:lastModifiedBy>
  <cp:revision>4</cp:revision>
  <dcterms:created xsi:type="dcterms:W3CDTF">2021-06-14T07:54:00Z</dcterms:created>
  <dcterms:modified xsi:type="dcterms:W3CDTF">2021-06-14T09:07:00Z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2105f634-7685-3f7d-80b5-c243237052bb</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http://www.zotero.org/styles/antiquity</vt:lpwstr>
  </property>
  <property fmtid="{D5CDD505-2E9C-101B-9397-08002B2CF9AE}" pid="10" name="Mendeley Recent Style Name 2_1">
    <vt:lpwstr>Antiquity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