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A3793" w14:textId="17190B18" w:rsidR="00264E67" w:rsidRDefault="003C5D0F" w:rsidP="00503E0F">
      <w:pPr>
        <w:spacing w:line="360" w:lineRule="auto"/>
        <w:rPr>
          <w:b/>
          <w:bCs/>
          <w:sz w:val="32"/>
          <w:szCs w:val="32"/>
        </w:rPr>
      </w:pPr>
      <w:r w:rsidRPr="00503E0F">
        <w:rPr>
          <w:b/>
          <w:bCs/>
          <w:sz w:val="32"/>
          <w:szCs w:val="32"/>
        </w:rPr>
        <w:t>S</w:t>
      </w:r>
      <w:r w:rsidR="00A03FA1">
        <w:rPr>
          <w:b/>
          <w:bCs/>
          <w:sz w:val="32"/>
          <w:szCs w:val="32"/>
        </w:rPr>
        <w:t>1 File</w:t>
      </w:r>
      <w:r w:rsidR="00AA3641">
        <w:rPr>
          <w:b/>
          <w:bCs/>
          <w:sz w:val="32"/>
          <w:szCs w:val="32"/>
        </w:rPr>
        <w:t xml:space="preserve">: </w:t>
      </w:r>
    </w:p>
    <w:p w14:paraId="736529E5" w14:textId="01CE4A6F" w:rsidR="00503E0F" w:rsidRDefault="00503E0F" w:rsidP="00503E0F">
      <w:pPr>
        <w:spacing w:line="360" w:lineRule="auto"/>
        <w:rPr>
          <w:b/>
          <w:bCs/>
          <w:sz w:val="28"/>
          <w:szCs w:val="28"/>
        </w:rPr>
      </w:pPr>
      <w:r w:rsidRPr="00503E0F">
        <w:rPr>
          <w:b/>
          <w:bCs/>
          <w:sz w:val="28"/>
          <w:szCs w:val="28"/>
        </w:rPr>
        <w:t>Regularities in human mortality after age 105</w:t>
      </w:r>
    </w:p>
    <w:p w14:paraId="5776D7FB" w14:textId="6B77B8EF" w:rsidR="00503E0F" w:rsidRPr="00503E0F" w:rsidRDefault="00503E0F" w:rsidP="00503E0F">
      <w:pPr>
        <w:spacing w:line="360" w:lineRule="auto"/>
        <w:rPr>
          <w:sz w:val="24"/>
          <w:szCs w:val="24"/>
          <w:lang w:val="ca-ES"/>
        </w:rPr>
      </w:pPr>
      <w:r w:rsidRPr="00503E0F">
        <w:rPr>
          <w:sz w:val="24"/>
          <w:szCs w:val="24"/>
          <w:lang w:val="es-ES"/>
        </w:rPr>
        <w:t>Jes</w:t>
      </w:r>
      <w:r w:rsidRPr="00503E0F">
        <w:rPr>
          <w:sz w:val="24"/>
          <w:szCs w:val="24"/>
          <w:lang w:val="ca-ES"/>
        </w:rPr>
        <w:t>ús-Adrián Alvarez</w:t>
      </w:r>
      <w:r>
        <w:rPr>
          <w:sz w:val="24"/>
          <w:szCs w:val="24"/>
          <w:lang w:val="ca-ES"/>
        </w:rPr>
        <w:t>*</w:t>
      </w:r>
      <w:r w:rsidRPr="00503E0F">
        <w:rPr>
          <w:sz w:val="24"/>
          <w:szCs w:val="24"/>
          <w:lang w:val="ca-ES"/>
        </w:rPr>
        <w:t>, Francisco Villavicencio, Cosmo Strozza, and Carlo Giovanni Camarda</w:t>
      </w:r>
    </w:p>
    <w:p w14:paraId="5DE5FF68" w14:textId="056C5514" w:rsidR="00503E0F" w:rsidRDefault="00503E0F" w:rsidP="00503E0F">
      <w:pPr>
        <w:spacing w:line="360" w:lineRule="auto"/>
        <w:rPr>
          <w:sz w:val="24"/>
          <w:szCs w:val="24"/>
        </w:rPr>
      </w:pPr>
      <w:r w:rsidRPr="00503E0F">
        <w:rPr>
          <w:sz w:val="24"/>
          <w:szCs w:val="24"/>
        </w:rPr>
        <w:t>*</w:t>
      </w:r>
      <w:r>
        <w:rPr>
          <w:sz w:val="24"/>
          <w:szCs w:val="24"/>
        </w:rPr>
        <w:t>C</w:t>
      </w:r>
      <w:r w:rsidRPr="00503E0F">
        <w:rPr>
          <w:sz w:val="24"/>
          <w:szCs w:val="24"/>
        </w:rPr>
        <w:t xml:space="preserve">orrespondence: </w:t>
      </w:r>
      <w:hyperlink r:id="rId7" w:history="1">
        <w:r w:rsidRPr="00503E0F">
          <w:rPr>
            <w:rStyle w:val="Hyperlink"/>
            <w:sz w:val="24"/>
            <w:szCs w:val="24"/>
          </w:rPr>
          <w:t>alvarez@sdu.dk</w:t>
        </w:r>
      </w:hyperlink>
      <w:r w:rsidRPr="00503E0F">
        <w:rPr>
          <w:sz w:val="24"/>
          <w:szCs w:val="24"/>
        </w:rPr>
        <w:t xml:space="preserve"> </w:t>
      </w:r>
    </w:p>
    <w:p w14:paraId="6AF57F68" w14:textId="77777777" w:rsidR="00503E0F" w:rsidRDefault="00503E0F" w:rsidP="00503E0F">
      <w:pPr>
        <w:spacing w:line="360" w:lineRule="auto"/>
        <w:rPr>
          <w:sz w:val="24"/>
          <w:szCs w:val="24"/>
        </w:rPr>
      </w:pPr>
    </w:p>
    <w:p w14:paraId="7C9C859C" w14:textId="74BB18DF" w:rsidR="00503E0F" w:rsidRDefault="00503E0F" w:rsidP="00CD6CBF">
      <w:pPr>
        <w:pStyle w:val="Heading1"/>
        <w:numPr>
          <w:ilvl w:val="0"/>
          <w:numId w:val="2"/>
        </w:numPr>
      </w:pPr>
      <w:r w:rsidRPr="00503E0F">
        <w:t>Additional</w:t>
      </w:r>
      <w:r w:rsidR="003078D9">
        <w:t xml:space="preserve"> </w:t>
      </w:r>
      <w:r w:rsidR="00CD6CBF">
        <w:t>t</w:t>
      </w:r>
      <w:r w:rsidR="003078D9">
        <w:t xml:space="preserve">ables and </w:t>
      </w:r>
      <w:r w:rsidR="00CD6CBF">
        <w:t>f</w:t>
      </w:r>
      <w:r w:rsidRPr="00503E0F">
        <w:t>igures</w:t>
      </w:r>
    </w:p>
    <w:p w14:paraId="65EE8036" w14:textId="47BD262F" w:rsidR="003078D9" w:rsidRDefault="003078D9" w:rsidP="003078D9"/>
    <w:p w14:paraId="3E6EB3D0" w14:textId="37F50B21" w:rsidR="003078D9" w:rsidRDefault="003078D9" w:rsidP="003078D9"/>
    <w:p w14:paraId="347A9E2A" w14:textId="3F1559A4" w:rsidR="003078D9" w:rsidRPr="003078D9" w:rsidRDefault="00644B39" w:rsidP="003078D9">
      <w:r w:rsidRPr="003078D9">
        <w:rPr>
          <w:b/>
          <w:bCs/>
          <w:sz w:val="24"/>
          <w:szCs w:val="24"/>
        </w:rPr>
        <w:t>S1</w:t>
      </w:r>
      <w:r>
        <w:rPr>
          <w:b/>
          <w:bCs/>
          <w:sz w:val="24"/>
          <w:szCs w:val="24"/>
        </w:rPr>
        <w:t xml:space="preserve"> </w:t>
      </w:r>
      <w:r w:rsidR="003078D9" w:rsidRPr="003078D9">
        <w:rPr>
          <w:b/>
          <w:bCs/>
          <w:sz w:val="24"/>
          <w:szCs w:val="24"/>
        </w:rPr>
        <w:t>Table.</w:t>
      </w:r>
      <w:r w:rsidR="003078D9" w:rsidRPr="003078D9">
        <w:rPr>
          <w:sz w:val="24"/>
          <w:szCs w:val="24"/>
        </w:rPr>
        <w:t xml:space="preserve"> </w:t>
      </w:r>
      <w:r w:rsidR="003078D9" w:rsidRPr="00866707">
        <w:rPr>
          <w:b/>
          <w:bCs/>
          <w:sz w:val="24"/>
          <w:szCs w:val="24"/>
        </w:rPr>
        <w:t xml:space="preserve">Estimates of the risk of dying and 95% confidence intervals for males in </w:t>
      </w:r>
      <w:proofErr w:type="gramStart"/>
      <w:r w:rsidR="003078D9" w:rsidRPr="00866707">
        <w:rPr>
          <w:b/>
          <w:bCs/>
          <w:sz w:val="24"/>
          <w:szCs w:val="24"/>
        </w:rPr>
        <w:t>France</w:t>
      </w:r>
      <w:proofErr w:type="gramEnd"/>
    </w:p>
    <w:p w14:paraId="2B33DC50" w14:textId="7F97C18D" w:rsidR="003078D9" w:rsidRDefault="003078D9" w:rsidP="003078D9"/>
    <w:tbl>
      <w:tblPr>
        <w:tblW w:w="3640" w:type="dxa"/>
        <w:jc w:val="center"/>
        <w:tblLook w:val="04A0" w:firstRow="1" w:lastRow="0" w:firstColumn="1" w:lastColumn="0" w:noHBand="0" w:noVBand="1"/>
      </w:tblPr>
      <w:tblGrid>
        <w:gridCol w:w="1320"/>
        <w:gridCol w:w="679"/>
        <w:gridCol w:w="1641"/>
      </w:tblGrid>
      <w:tr w:rsidR="003078D9" w:rsidRPr="00A01CEA" w14:paraId="5BB91984" w14:textId="77777777" w:rsidTr="00900A04">
        <w:trPr>
          <w:trHeight w:val="280"/>
          <w:jc w:val="center"/>
        </w:trPr>
        <w:tc>
          <w:tcPr>
            <w:tcW w:w="1320" w:type="dxa"/>
            <w:tcBorders>
              <w:top w:val="nil"/>
              <w:left w:val="nil"/>
              <w:bottom w:val="nil"/>
              <w:right w:val="nil"/>
            </w:tcBorders>
            <w:shd w:val="clear" w:color="auto" w:fill="auto"/>
            <w:noWrap/>
            <w:vAlign w:val="bottom"/>
            <w:hideMark/>
          </w:tcPr>
          <w:p w14:paraId="3B46AD37" w14:textId="77777777" w:rsidR="003078D9" w:rsidRPr="00A01CEA" w:rsidRDefault="003078D9" w:rsidP="00900A04">
            <w:pPr>
              <w:rPr>
                <w:rFonts w:eastAsia="Times New Roman"/>
                <w:sz w:val="24"/>
                <w:szCs w:val="24"/>
                <w:lang w:val="en-GB" w:eastAsia="en-GB"/>
              </w:rPr>
            </w:pPr>
          </w:p>
        </w:tc>
        <w:tc>
          <w:tcPr>
            <w:tcW w:w="2320" w:type="dxa"/>
            <w:gridSpan w:val="2"/>
            <w:tcBorders>
              <w:top w:val="nil"/>
              <w:left w:val="nil"/>
              <w:bottom w:val="single" w:sz="4" w:space="0" w:color="auto"/>
              <w:right w:val="nil"/>
            </w:tcBorders>
            <w:shd w:val="clear" w:color="auto" w:fill="auto"/>
            <w:noWrap/>
            <w:vAlign w:val="bottom"/>
            <w:hideMark/>
          </w:tcPr>
          <w:p w14:paraId="216FDE8A" w14:textId="77777777" w:rsidR="003078D9" w:rsidRPr="00A01CEA" w:rsidRDefault="003078D9" w:rsidP="00900A04">
            <w:pPr>
              <w:jc w:val="center"/>
              <w:rPr>
                <w:rFonts w:eastAsia="Times New Roman"/>
                <w:b/>
                <w:bCs/>
                <w:color w:val="000000"/>
                <w:sz w:val="22"/>
                <w:szCs w:val="22"/>
                <w:lang w:val="en-GB" w:eastAsia="en-GB"/>
              </w:rPr>
            </w:pPr>
            <w:r w:rsidRPr="00A01CEA">
              <w:rPr>
                <w:rFonts w:eastAsia="Times New Roman"/>
                <w:b/>
                <w:bCs/>
                <w:color w:val="000000"/>
                <w:sz w:val="22"/>
                <w:szCs w:val="22"/>
                <w:lang w:val="en-GB" w:eastAsia="en-GB"/>
              </w:rPr>
              <w:t>France</w:t>
            </w:r>
          </w:p>
        </w:tc>
      </w:tr>
      <w:tr w:rsidR="003078D9" w:rsidRPr="00A01CEA" w14:paraId="061C5A40" w14:textId="77777777" w:rsidTr="00900A04">
        <w:trPr>
          <w:trHeight w:val="280"/>
          <w:jc w:val="center"/>
        </w:trPr>
        <w:tc>
          <w:tcPr>
            <w:tcW w:w="1320" w:type="dxa"/>
            <w:tcBorders>
              <w:top w:val="nil"/>
              <w:left w:val="nil"/>
              <w:bottom w:val="single" w:sz="4" w:space="0" w:color="auto"/>
              <w:right w:val="nil"/>
            </w:tcBorders>
            <w:shd w:val="clear" w:color="auto" w:fill="auto"/>
            <w:noWrap/>
            <w:vAlign w:val="bottom"/>
            <w:hideMark/>
          </w:tcPr>
          <w:p w14:paraId="6714BE6F" w14:textId="77777777" w:rsidR="003078D9" w:rsidRPr="00A01CEA" w:rsidRDefault="003078D9" w:rsidP="00900A04">
            <w:pPr>
              <w:jc w:val="center"/>
              <w:rPr>
                <w:rFonts w:eastAsia="Times New Roman"/>
                <w:b/>
                <w:bCs/>
                <w:color w:val="000000"/>
                <w:sz w:val="22"/>
                <w:szCs w:val="22"/>
                <w:lang w:val="en-GB" w:eastAsia="en-GB"/>
              </w:rPr>
            </w:pPr>
            <w:r w:rsidRPr="00A01CEA">
              <w:rPr>
                <w:rFonts w:eastAsia="Times New Roman"/>
                <w:b/>
                <w:bCs/>
                <w:color w:val="000000"/>
                <w:sz w:val="22"/>
                <w:szCs w:val="22"/>
                <w:lang w:val="en-GB" w:eastAsia="en-GB"/>
              </w:rPr>
              <w:t>Age</w:t>
            </w:r>
          </w:p>
        </w:tc>
        <w:tc>
          <w:tcPr>
            <w:tcW w:w="679" w:type="dxa"/>
            <w:tcBorders>
              <w:top w:val="nil"/>
              <w:left w:val="nil"/>
              <w:bottom w:val="single" w:sz="4" w:space="0" w:color="auto"/>
              <w:right w:val="nil"/>
            </w:tcBorders>
            <w:shd w:val="clear" w:color="auto" w:fill="auto"/>
            <w:noWrap/>
            <w:vAlign w:val="bottom"/>
            <w:hideMark/>
          </w:tcPr>
          <w:p w14:paraId="21DA8E3B" w14:textId="77777777" w:rsidR="003078D9" w:rsidRPr="00A01CEA" w:rsidRDefault="003078D9" w:rsidP="00900A04">
            <w:pPr>
              <w:jc w:val="center"/>
              <w:rPr>
                <w:rFonts w:eastAsia="Times New Roman"/>
                <w:b/>
                <w:bCs/>
                <w:color w:val="000000"/>
                <w:sz w:val="22"/>
                <w:szCs w:val="22"/>
                <w:lang w:val="en-GB" w:eastAsia="en-GB"/>
              </w:rPr>
            </w:pPr>
            <m:oMathPara>
              <m:oMath>
                <m:r>
                  <m:rPr>
                    <m:sty m:val="bi"/>
                  </m:rPr>
                  <w:rPr>
                    <w:rFonts w:ascii="Cambria Math" w:hAnsi="Cambria Math"/>
                  </w:rPr>
                  <m:t>μ</m:t>
                </m:r>
                <m:d>
                  <m:dPr>
                    <m:ctrlPr>
                      <w:rPr>
                        <w:rFonts w:ascii="Cambria Math" w:hAnsi="Cambria Math"/>
                        <w:i/>
                      </w:rPr>
                    </m:ctrlPr>
                  </m:dPr>
                  <m:e>
                    <m:r>
                      <m:rPr>
                        <m:sty m:val="bi"/>
                      </m:rPr>
                      <w:rPr>
                        <w:rFonts w:ascii="Cambria Math" w:hAnsi="Cambria Math"/>
                      </w:rPr>
                      <m:t>x</m:t>
                    </m:r>
                  </m:e>
                </m:d>
              </m:oMath>
            </m:oMathPara>
          </w:p>
        </w:tc>
        <w:tc>
          <w:tcPr>
            <w:tcW w:w="1641" w:type="dxa"/>
            <w:tcBorders>
              <w:top w:val="nil"/>
              <w:left w:val="nil"/>
              <w:bottom w:val="single" w:sz="4" w:space="0" w:color="auto"/>
              <w:right w:val="nil"/>
            </w:tcBorders>
            <w:shd w:val="clear" w:color="auto" w:fill="auto"/>
            <w:noWrap/>
            <w:vAlign w:val="bottom"/>
            <w:hideMark/>
          </w:tcPr>
          <w:p w14:paraId="588F221B" w14:textId="77777777" w:rsidR="003078D9" w:rsidRPr="00A01CEA" w:rsidRDefault="003078D9" w:rsidP="00900A04">
            <w:pPr>
              <w:jc w:val="center"/>
              <w:rPr>
                <w:rFonts w:eastAsia="Times New Roman"/>
                <w:b/>
                <w:bCs/>
                <w:color w:val="000000"/>
                <w:sz w:val="22"/>
                <w:szCs w:val="22"/>
                <w:lang w:val="en-GB" w:eastAsia="en-GB"/>
              </w:rPr>
            </w:pPr>
            <w:r w:rsidRPr="00A01CEA">
              <w:rPr>
                <w:rFonts w:eastAsia="Times New Roman"/>
                <w:b/>
                <w:bCs/>
                <w:color w:val="000000"/>
                <w:sz w:val="22"/>
                <w:szCs w:val="22"/>
                <w:lang w:val="en-GB" w:eastAsia="en-GB"/>
              </w:rPr>
              <w:t>95% CI</w:t>
            </w:r>
          </w:p>
        </w:tc>
      </w:tr>
      <w:tr w:rsidR="003078D9" w:rsidRPr="00A01CEA" w14:paraId="03CAB738" w14:textId="77777777" w:rsidTr="00900A04">
        <w:trPr>
          <w:trHeight w:val="280"/>
          <w:jc w:val="center"/>
        </w:trPr>
        <w:tc>
          <w:tcPr>
            <w:tcW w:w="1320" w:type="dxa"/>
            <w:tcBorders>
              <w:top w:val="nil"/>
              <w:left w:val="nil"/>
              <w:bottom w:val="nil"/>
              <w:right w:val="nil"/>
            </w:tcBorders>
            <w:shd w:val="clear" w:color="auto" w:fill="auto"/>
            <w:noWrap/>
            <w:vAlign w:val="bottom"/>
            <w:hideMark/>
          </w:tcPr>
          <w:p w14:paraId="08BF0712" w14:textId="77777777" w:rsidR="003078D9" w:rsidRPr="00A01CEA" w:rsidRDefault="003078D9" w:rsidP="00900A04">
            <w:pPr>
              <w:jc w:val="center"/>
              <w:rPr>
                <w:rFonts w:eastAsia="Times New Roman"/>
                <w:color w:val="000000"/>
                <w:sz w:val="22"/>
                <w:szCs w:val="22"/>
                <w:lang w:val="en-GB" w:eastAsia="en-GB"/>
              </w:rPr>
            </w:pPr>
            <w:r w:rsidRPr="00A01CEA">
              <w:rPr>
                <w:rFonts w:eastAsia="Times New Roman"/>
                <w:color w:val="000000"/>
                <w:sz w:val="22"/>
                <w:szCs w:val="22"/>
                <w:lang w:val="en-GB" w:eastAsia="en-GB"/>
              </w:rPr>
              <w:t>105</w:t>
            </w:r>
            <w:r>
              <w:rPr>
                <w:rFonts w:eastAsia="Times New Roman"/>
                <w:color w:val="000000"/>
                <w:sz w:val="22"/>
                <w:szCs w:val="22"/>
                <w:lang w:val="en-GB" w:eastAsia="en-GB"/>
              </w:rPr>
              <w:t>.0</w:t>
            </w:r>
          </w:p>
        </w:tc>
        <w:tc>
          <w:tcPr>
            <w:tcW w:w="679" w:type="dxa"/>
            <w:tcBorders>
              <w:top w:val="nil"/>
              <w:left w:val="nil"/>
              <w:bottom w:val="nil"/>
              <w:right w:val="nil"/>
            </w:tcBorders>
            <w:shd w:val="clear" w:color="auto" w:fill="auto"/>
            <w:noWrap/>
            <w:vAlign w:val="bottom"/>
            <w:hideMark/>
          </w:tcPr>
          <w:p w14:paraId="237EEB66" w14:textId="77777777" w:rsidR="003078D9" w:rsidRPr="00A01CEA" w:rsidRDefault="003078D9" w:rsidP="00900A04">
            <w:pPr>
              <w:jc w:val="center"/>
              <w:rPr>
                <w:rFonts w:eastAsia="Times New Roman"/>
                <w:color w:val="000000"/>
                <w:sz w:val="22"/>
                <w:szCs w:val="22"/>
                <w:lang w:val="en-GB" w:eastAsia="en-GB"/>
              </w:rPr>
            </w:pPr>
            <w:r w:rsidRPr="00A01CEA">
              <w:rPr>
                <w:rFonts w:eastAsia="Times New Roman"/>
                <w:color w:val="000000"/>
                <w:sz w:val="22"/>
                <w:szCs w:val="22"/>
                <w:lang w:val="en-GB" w:eastAsia="en-GB"/>
              </w:rPr>
              <w:t>0.76</w:t>
            </w:r>
          </w:p>
        </w:tc>
        <w:tc>
          <w:tcPr>
            <w:tcW w:w="1641" w:type="dxa"/>
            <w:tcBorders>
              <w:top w:val="nil"/>
              <w:left w:val="nil"/>
              <w:bottom w:val="nil"/>
              <w:right w:val="nil"/>
            </w:tcBorders>
            <w:shd w:val="clear" w:color="auto" w:fill="auto"/>
            <w:noWrap/>
            <w:vAlign w:val="bottom"/>
            <w:hideMark/>
          </w:tcPr>
          <w:p w14:paraId="571961D3" w14:textId="77777777" w:rsidR="003078D9" w:rsidRPr="00A01CEA" w:rsidRDefault="003078D9" w:rsidP="00900A04">
            <w:pPr>
              <w:jc w:val="center"/>
              <w:rPr>
                <w:rFonts w:eastAsia="Times New Roman"/>
                <w:color w:val="000000"/>
                <w:sz w:val="22"/>
                <w:szCs w:val="22"/>
                <w:lang w:val="en-GB" w:eastAsia="en-GB"/>
              </w:rPr>
            </w:pPr>
            <w:r w:rsidRPr="00A01CEA">
              <w:rPr>
                <w:rFonts w:eastAsia="Times New Roman"/>
                <w:color w:val="000000"/>
                <w:sz w:val="22"/>
                <w:szCs w:val="22"/>
                <w:lang w:val="en-GB" w:eastAsia="en-GB"/>
              </w:rPr>
              <w:t>(0.67,0.85)</w:t>
            </w:r>
          </w:p>
        </w:tc>
      </w:tr>
      <w:tr w:rsidR="003078D9" w:rsidRPr="00A01CEA" w14:paraId="1F0B860E" w14:textId="77777777" w:rsidTr="00900A04">
        <w:trPr>
          <w:trHeight w:val="280"/>
          <w:jc w:val="center"/>
        </w:trPr>
        <w:tc>
          <w:tcPr>
            <w:tcW w:w="1320" w:type="dxa"/>
            <w:tcBorders>
              <w:top w:val="nil"/>
              <w:left w:val="nil"/>
              <w:bottom w:val="nil"/>
              <w:right w:val="nil"/>
            </w:tcBorders>
            <w:shd w:val="clear" w:color="auto" w:fill="auto"/>
            <w:noWrap/>
            <w:vAlign w:val="bottom"/>
            <w:hideMark/>
          </w:tcPr>
          <w:p w14:paraId="12E39179" w14:textId="77777777" w:rsidR="003078D9" w:rsidRPr="00A01CEA" w:rsidRDefault="003078D9" w:rsidP="00900A04">
            <w:pPr>
              <w:jc w:val="center"/>
              <w:rPr>
                <w:rFonts w:eastAsia="Times New Roman"/>
                <w:color w:val="000000"/>
                <w:sz w:val="22"/>
                <w:szCs w:val="22"/>
                <w:lang w:val="en-GB" w:eastAsia="en-GB"/>
              </w:rPr>
            </w:pPr>
            <w:r w:rsidRPr="00A01CEA">
              <w:rPr>
                <w:rFonts w:eastAsia="Times New Roman"/>
                <w:color w:val="000000"/>
                <w:sz w:val="22"/>
                <w:szCs w:val="22"/>
                <w:lang w:val="en-GB" w:eastAsia="en-GB"/>
              </w:rPr>
              <w:t>10</w:t>
            </w:r>
            <w:r>
              <w:rPr>
                <w:rFonts w:eastAsia="Times New Roman"/>
                <w:color w:val="000000"/>
                <w:sz w:val="22"/>
                <w:szCs w:val="22"/>
                <w:lang w:val="en-GB" w:eastAsia="en-GB"/>
              </w:rPr>
              <w:t>5.5</w:t>
            </w:r>
          </w:p>
        </w:tc>
        <w:tc>
          <w:tcPr>
            <w:tcW w:w="679" w:type="dxa"/>
            <w:tcBorders>
              <w:top w:val="nil"/>
              <w:left w:val="nil"/>
              <w:bottom w:val="nil"/>
              <w:right w:val="nil"/>
            </w:tcBorders>
            <w:shd w:val="clear" w:color="auto" w:fill="auto"/>
            <w:noWrap/>
            <w:vAlign w:val="bottom"/>
            <w:hideMark/>
          </w:tcPr>
          <w:p w14:paraId="3F50964A" w14:textId="77777777" w:rsidR="003078D9" w:rsidRPr="00A01CEA" w:rsidRDefault="003078D9" w:rsidP="00900A04">
            <w:pPr>
              <w:jc w:val="center"/>
              <w:rPr>
                <w:rFonts w:eastAsia="Times New Roman"/>
                <w:color w:val="000000"/>
                <w:sz w:val="22"/>
                <w:szCs w:val="22"/>
                <w:lang w:val="en-GB" w:eastAsia="en-GB"/>
              </w:rPr>
            </w:pPr>
            <w:r w:rsidRPr="00A01CEA">
              <w:rPr>
                <w:rFonts w:eastAsia="Times New Roman"/>
                <w:color w:val="000000"/>
                <w:sz w:val="22"/>
                <w:szCs w:val="22"/>
                <w:lang w:val="en-GB" w:eastAsia="en-GB"/>
              </w:rPr>
              <w:t>0.75</w:t>
            </w:r>
          </w:p>
        </w:tc>
        <w:tc>
          <w:tcPr>
            <w:tcW w:w="1641" w:type="dxa"/>
            <w:tcBorders>
              <w:top w:val="nil"/>
              <w:left w:val="nil"/>
              <w:bottom w:val="nil"/>
              <w:right w:val="nil"/>
            </w:tcBorders>
            <w:shd w:val="clear" w:color="auto" w:fill="auto"/>
            <w:noWrap/>
            <w:vAlign w:val="bottom"/>
            <w:hideMark/>
          </w:tcPr>
          <w:p w14:paraId="11A26BBA" w14:textId="77777777" w:rsidR="003078D9" w:rsidRPr="00A01CEA" w:rsidRDefault="003078D9" w:rsidP="00900A04">
            <w:pPr>
              <w:jc w:val="center"/>
              <w:rPr>
                <w:rFonts w:eastAsia="Times New Roman"/>
                <w:color w:val="000000"/>
                <w:sz w:val="22"/>
                <w:szCs w:val="22"/>
                <w:lang w:val="en-GB" w:eastAsia="en-GB"/>
              </w:rPr>
            </w:pPr>
            <w:r w:rsidRPr="00A01CEA">
              <w:rPr>
                <w:rFonts w:eastAsia="Times New Roman"/>
                <w:color w:val="000000"/>
                <w:sz w:val="22"/>
                <w:szCs w:val="22"/>
                <w:lang w:val="en-GB" w:eastAsia="en-GB"/>
              </w:rPr>
              <w:t>(0.64,0.86)</w:t>
            </w:r>
          </w:p>
        </w:tc>
      </w:tr>
      <w:tr w:rsidR="003078D9" w:rsidRPr="00A01CEA" w14:paraId="64CFDE17" w14:textId="77777777" w:rsidTr="00900A04">
        <w:trPr>
          <w:trHeight w:val="280"/>
          <w:jc w:val="center"/>
        </w:trPr>
        <w:tc>
          <w:tcPr>
            <w:tcW w:w="1320" w:type="dxa"/>
            <w:tcBorders>
              <w:top w:val="nil"/>
              <w:left w:val="nil"/>
              <w:bottom w:val="nil"/>
              <w:right w:val="nil"/>
            </w:tcBorders>
            <w:shd w:val="clear" w:color="auto" w:fill="auto"/>
            <w:noWrap/>
            <w:vAlign w:val="bottom"/>
            <w:hideMark/>
          </w:tcPr>
          <w:p w14:paraId="18228581" w14:textId="77777777" w:rsidR="003078D9" w:rsidRPr="00A01CEA" w:rsidRDefault="003078D9" w:rsidP="00900A04">
            <w:pPr>
              <w:jc w:val="center"/>
              <w:rPr>
                <w:rFonts w:eastAsia="Times New Roman"/>
                <w:color w:val="000000"/>
                <w:sz w:val="22"/>
                <w:szCs w:val="22"/>
                <w:lang w:val="en-GB" w:eastAsia="en-GB"/>
              </w:rPr>
            </w:pPr>
            <w:r w:rsidRPr="00A01CEA">
              <w:rPr>
                <w:rFonts w:eastAsia="Times New Roman"/>
                <w:color w:val="000000"/>
                <w:sz w:val="22"/>
                <w:szCs w:val="22"/>
                <w:lang w:val="en-GB" w:eastAsia="en-GB"/>
              </w:rPr>
              <w:t>106</w:t>
            </w:r>
            <w:r>
              <w:rPr>
                <w:rFonts w:eastAsia="Times New Roman"/>
                <w:color w:val="000000"/>
                <w:sz w:val="22"/>
                <w:szCs w:val="22"/>
                <w:lang w:val="en-GB" w:eastAsia="en-GB"/>
              </w:rPr>
              <w:t>.0</w:t>
            </w:r>
          </w:p>
        </w:tc>
        <w:tc>
          <w:tcPr>
            <w:tcW w:w="679" w:type="dxa"/>
            <w:tcBorders>
              <w:top w:val="nil"/>
              <w:left w:val="nil"/>
              <w:bottom w:val="nil"/>
              <w:right w:val="nil"/>
            </w:tcBorders>
            <w:shd w:val="clear" w:color="auto" w:fill="auto"/>
            <w:noWrap/>
            <w:vAlign w:val="bottom"/>
            <w:hideMark/>
          </w:tcPr>
          <w:p w14:paraId="7F686519" w14:textId="77777777" w:rsidR="003078D9" w:rsidRPr="00A01CEA" w:rsidRDefault="003078D9" w:rsidP="00900A04">
            <w:pPr>
              <w:jc w:val="center"/>
              <w:rPr>
                <w:rFonts w:eastAsia="Times New Roman"/>
                <w:color w:val="000000"/>
                <w:sz w:val="22"/>
                <w:szCs w:val="22"/>
                <w:lang w:val="en-GB" w:eastAsia="en-GB"/>
              </w:rPr>
            </w:pPr>
            <w:r w:rsidRPr="00A01CEA">
              <w:rPr>
                <w:rFonts w:eastAsia="Times New Roman"/>
                <w:color w:val="000000"/>
                <w:sz w:val="22"/>
                <w:szCs w:val="22"/>
                <w:lang w:val="en-GB" w:eastAsia="en-GB"/>
              </w:rPr>
              <w:t>0.80</w:t>
            </w:r>
          </w:p>
        </w:tc>
        <w:tc>
          <w:tcPr>
            <w:tcW w:w="1641" w:type="dxa"/>
            <w:tcBorders>
              <w:top w:val="nil"/>
              <w:left w:val="nil"/>
              <w:bottom w:val="nil"/>
              <w:right w:val="nil"/>
            </w:tcBorders>
            <w:shd w:val="clear" w:color="auto" w:fill="auto"/>
            <w:noWrap/>
            <w:vAlign w:val="bottom"/>
            <w:hideMark/>
          </w:tcPr>
          <w:p w14:paraId="62FB7BF9" w14:textId="77777777" w:rsidR="003078D9" w:rsidRPr="00A01CEA" w:rsidRDefault="003078D9" w:rsidP="00900A04">
            <w:pPr>
              <w:jc w:val="center"/>
              <w:rPr>
                <w:rFonts w:eastAsia="Times New Roman"/>
                <w:color w:val="000000"/>
                <w:sz w:val="22"/>
                <w:szCs w:val="22"/>
                <w:lang w:val="en-GB" w:eastAsia="en-GB"/>
              </w:rPr>
            </w:pPr>
            <w:r w:rsidRPr="00A01CEA">
              <w:rPr>
                <w:rFonts w:eastAsia="Times New Roman"/>
                <w:color w:val="000000"/>
                <w:sz w:val="22"/>
                <w:szCs w:val="22"/>
                <w:lang w:val="en-GB" w:eastAsia="en-GB"/>
              </w:rPr>
              <w:t>(0.67,0.95)</w:t>
            </w:r>
          </w:p>
        </w:tc>
      </w:tr>
      <w:tr w:rsidR="003078D9" w:rsidRPr="00A01CEA" w14:paraId="2628215D" w14:textId="77777777" w:rsidTr="00900A04">
        <w:trPr>
          <w:trHeight w:val="280"/>
          <w:jc w:val="center"/>
        </w:trPr>
        <w:tc>
          <w:tcPr>
            <w:tcW w:w="1320" w:type="dxa"/>
            <w:tcBorders>
              <w:top w:val="nil"/>
              <w:left w:val="nil"/>
              <w:bottom w:val="nil"/>
              <w:right w:val="nil"/>
            </w:tcBorders>
            <w:shd w:val="clear" w:color="auto" w:fill="auto"/>
            <w:noWrap/>
            <w:vAlign w:val="bottom"/>
            <w:hideMark/>
          </w:tcPr>
          <w:p w14:paraId="15880202" w14:textId="77777777" w:rsidR="003078D9" w:rsidRPr="00A01CEA" w:rsidRDefault="003078D9" w:rsidP="00900A04">
            <w:pPr>
              <w:jc w:val="center"/>
              <w:rPr>
                <w:rFonts w:eastAsia="Times New Roman"/>
                <w:color w:val="000000"/>
                <w:sz w:val="22"/>
                <w:szCs w:val="22"/>
                <w:lang w:val="en-GB" w:eastAsia="en-GB"/>
              </w:rPr>
            </w:pPr>
            <w:r w:rsidRPr="00A01CEA">
              <w:rPr>
                <w:rFonts w:eastAsia="Times New Roman"/>
                <w:color w:val="000000"/>
                <w:sz w:val="22"/>
                <w:szCs w:val="22"/>
                <w:lang w:val="en-GB" w:eastAsia="en-GB"/>
              </w:rPr>
              <w:t>10</w:t>
            </w:r>
            <w:r>
              <w:rPr>
                <w:rFonts w:eastAsia="Times New Roman"/>
                <w:color w:val="000000"/>
                <w:sz w:val="22"/>
                <w:szCs w:val="22"/>
                <w:lang w:val="en-GB" w:eastAsia="en-GB"/>
              </w:rPr>
              <w:t>6.5</w:t>
            </w:r>
          </w:p>
        </w:tc>
        <w:tc>
          <w:tcPr>
            <w:tcW w:w="679" w:type="dxa"/>
            <w:tcBorders>
              <w:top w:val="nil"/>
              <w:left w:val="nil"/>
              <w:bottom w:val="nil"/>
              <w:right w:val="nil"/>
            </w:tcBorders>
            <w:shd w:val="clear" w:color="auto" w:fill="auto"/>
            <w:noWrap/>
            <w:vAlign w:val="bottom"/>
            <w:hideMark/>
          </w:tcPr>
          <w:p w14:paraId="1DC1BE8D" w14:textId="77777777" w:rsidR="003078D9" w:rsidRPr="00A01CEA" w:rsidRDefault="003078D9" w:rsidP="00900A04">
            <w:pPr>
              <w:jc w:val="center"/>
              <w:rPr>
                <w:rFonts w:eastAsia="Times New Roman"/>
                <w:color w:val="000000"/>
                <w:sz w:val="22"/>
                <w:szCs w:val="22"/>
                <w:lang w:val="en-GB" w:eastAsia="en-GB"/>
              </w:rPr>
            </w:pPr>
            <w:r w:rsidRPr="00A01CEA">
              <w:rPr>
                <w:rFonts w:eastAsia="Times New Roman"/>
                <w:color w:val="000000"/>
                <w:sz w:val="22"/>
                <w:szCs w:val="22"/>
                <w:lang w:val="en-GB" w:eastAsia="en-GB"/>
              </w:rPr>
              <w:t>0.87</w:t>
            </w:r>
          </w:p>
        </w:tc>
        <w:tc>
          <w:tcPr>
            <w:tcW w:w="1641" w:type="dxa"/>
            <w:tcBorders>
              <w:top w:val="nil"/>
              <w:left w:val="nil"/>
              <w:bottom w:val="nil"/>
              <w:right w:val="nil"/>
            </w:tcBorders>
            <w:shd w:val="clear" w:color="auto" w:fill="auto"/>
            <w:noWrap/>
            <w:vAlign w:val="bottom"/>
            <w:hideMark/>
          </w:tcPr>
          <w:p w14:paraId="2CB7E710" w14:textId="77777777" w:rsidR="003078D9" w:rsidRPr="00A01CEA" w:rsidRDefault="003078D9" w:rsidP="00900A04">
            <w:pPr>
              <w:jc w:val="center"/>
              <w:rPr>
                <w:rFonts w:eastAsia="Times New Roman"/>
                <w:color w:val="000000"/>
                <w:sz w:val="22"/>
                <w:szCs w:val="22"/>
                <w:lang w:val="en-GB" w:eastAsia="en-GB"/>
              </w:rPr>
            </w:pPr>
            <w:r w:rsidRPr="00A01CEA">
              <w:rPr>
                <w:rFonts w:eastAsia="Times New Roman"/>
                <w:color w:val="000000"/>
                <w:sz w:val="22"/>
                <w:szCs w:val="22"/>
                <w:lang w:val="en-GB" w:eastAsia="en-GB"/>
              </w:rPr>
              <w:t>(0.70,1.05)</w:t>
            </w:r>
          </w:p>
        </w:tc>
      </w:tr>
      <w:tr w:rsidR="003078D9" w:rsidRPr="00A01CEA" w14:paraId="0AC2E028" w14:textId="77777777" w:rsidTr="00900A04">
        <w:trPr>
          <w:trHeight w:val="280"/>
          <w:jc w:val="center"/>
        </w:trPr>
        <w:tc>
          <w:tcPr>
            <w:tcW w:w="1320" w:type="dxa"/>
            <w:tcBorders>
              <w:top w:val="nil"/>
              <w:left w:val="nil"/>
              <w:bottom w:val="nil"/>
              <w:right w:val="nil"/>
            </w:tcBorders>
            <w:shd w:val="clear" w:color="auto" w:fill="auto"/>
            <w:noWrap/>
            <w:vAlign w:val="bottom"/>
            <w:hideMark/>
          </w:tcPr>
          <w:p w14:paraId="6C94AA60" w14:textId="77777777" w:rsidR="003078D9" w:rsidRPr="00A01CEA" w:rsidRDefault="003078D9" w:rsidP="00900A04">
            <w:pPr>
              <w:jc w:val="center"/>
              <w:rPr>
                <w:rFonts w:eastAsia="Times New Roman"/>
                <w:color w:val="000000"/>
                <w:sz w:val="22"/>
                <w:szCs w:val="22"/>
                <w:lang w:val="en-GB" w:eastAsia="en-GB"/>
              </w:rPr>
            </w:pPr>
            <w:r w:rsidRPr="00A01CEA">
              <w:rPr>
                <w:rFonts w:eastAsia="Times New Roman"/>
                <w:color w:val="000000"/>
                <w:sz w:val="22"/>
                <w:szCs w:val="22"/>
                <w:lang w:val="en-GB" w:eastAsia="en-GB"/>
              </w:rPr>
              <w:t>107</w:t>
            </w:r>
            <w:r>
              <w:rPr>
                <w:rFonts w:eastAsia="Times New Roman"/>
                <w:color w:val="000000"/>
                <w:sz w:val="22"/>
                <w:szCs w:val="22"/>
                <w:lang w:val="en-GB" w:eastAsia="en-GB"/>
              </w:rPr>
              <w:t>.0</w:t>
            </w:r>
          </w:p>
        </w:tc>
        <w:tc>
          <w:tcPr>
            <w:tcW w:w="679" w:type="dxa"/>
            <w:tcBorders>
              <w:top w:val="nil"/>
              <w:left w:val="nil"/>
              <w:bottom w:val="nil"/>
              <w:right w:val="nil"/>
            </w:tcBorders>
            <w:shd w:val="clear" w:color="auto" w:fill="auto"/>
            <w:noWrap/>
            <w:vAlign w:val="bottom"/>
            <w:hideMark/>
          </w:tcPr>
          <w:p w14:paraId="1E590A8E" w14:textId="77777777" w:rsidR="003078D9" w:rsidRPr="00A01CEA" w:rsidRDefault="003078D9" w:rsidP="00900A04">
            <w:pPr>
              <w:jc w:val="center"/>
              <w:rPr>
                <w:rFonts w:eastAsia="Times New Roman"/>
                <w:color w:val="000000"/>
                <w:sz w:val="22"/>
                <w:szCs w:val="22"/>
                <w:lang w:val="en-GB" w:eastAsia="en-GB"/>
              </w:rPr>
            </w:pPr>
            <w:r w:rsidRPr="00A01CEA">
              <w:rPr>
                <w:rFonts w:eastAsia="Times New Roman"/>
                <w:color w:val="000000"/>
                <w:sz w:val="22"/>
                <w:szCs w:val="22"/>
                <w:lang w:val="en-GB" w:eastAsia="en-GB"/>
              </w:rPr>
              <w:t>0.76</w:t>
            </w:r>
          </w:p>
        </w:tc>
        <w:tc>
          <w:tcPr>
            <w:tcW w:w="1641" w:type="dxa"/>
            <w:tcBorders>
              <w:top w:val="nil"/>
              <w:left w:val="nil"/>
              <w:bottom w:val="nil"/>
              <w:right w:val="nil"/>
            </w:tcBorders>
            <w:shd w:val="clear" w:color="auto" w:fill="auto"/>
            <w:noWrap/>
            <w:vAlign w:val="bottom"/>
            <w:hideMark/>
          </w:tcPr>
          <w:p w14:paraId="58F6AFCB" w14:textId="77777777" w:rsidR="003078D9" w:rsidRPr="00A01CEA" w:rsidRDefault="003078D9" w:rsidP="00900A04">
            <w:pPr>
              <w:jc w:val="center"/>
              <w:rPr>
                <w:rFonts w:eastAsia="Times New Roman"/>
                <w:color w:val="000000"/>
                <w:sz w:val="22"/>
                <w:szCs w:val="22"/>
                <w:lang w:val="en-GB" w:eastAsia="en-GB"/>
              </w:rPr>
            </w:pPr>
            <w:r w:rsidRPr="00A01CEA">
              <w:rPr>
                <w:rFonts w:eastAsia="Times New Roman"/>
                <w:color w:val="000000"/>
                <w:sz w:val="22"/>
                <w:szCs w:val="22"/>
                <w:lang w:val="en-GB" w:eastAsia="en-GB"/>
              </w:rPr>
              <w:t>(0.57,0.98)</w:t>
            </w:r>
          </w:p>
        </w:tc>
      </w:tr>
      <w:tr w:rsidR="003078D9" w:rsidRPr="00A01CEA" w14:paraId="59C6332B" w14:textId="77777777" w:rsidTr="00900A04">
        <w:trPr>
          <w:trHeight w:val="280"/>
          <w:jc w:val="center"/>
        </w:trPr>
        <w:tc>
          <w:tcPr>
            <w:tcW w:w="1320" w:type="dxa"/>
            <w:tcBorders>
              <w:top w:val="nil"/>
              <w:left w:val="nil"/>
              <w:bottom w:val="nil"/>
              <w:right w:val="nil"/>
            </w:tcBorders>
            <w:shd w:val="clear" w:color="auto" w:fill="auto"/>
            <w:noWrap/>
            <w:vAlign w:val="bottom"/>
            <w:hideMark/>
          </w:tcPr>
          <w:p w14:paraId="711E1719" w14:textId="77777777" w:rsidR="003078D9" w:rsidRPr="00A01CEA" w:rsidRDefault="003078D9" w:rsidP="00900A04">
            <w:pPr>
              <w:jc w:val="center"/>
              <w:rPr>
                <w:rFonts w:eastAsia="Times New Roman"/>
                <w:color w:val="000000"/>
                <w:sz w:val="22"/>
                <w:szCs w:val="22"/>
                <w:lang w:val="en-GB" w:eastAsia="en-GB"/>
              </w:rPr>
            </w:pPr>
            <w:r w:rsidRPr="00A01CEA">
              <w:rPr>
                <w:rFonts w:eastAsia="Times New Roman"/>
                <w:color w:val="000000"/>
                <w:sz w:val="22"/>
                <w:szCs w:val="22"/>
                <w:lang w:val="en-GB" w:eastAsia="en-GB"/>
              </w:rPr>
              <w:t>10</w:t>
            </w:r>
            <w:r>
              <w:rPr>
                <w:rFonts w:eastAsia="Times New Roman"/>
                <w:color w:val="000000"/>
                <w:sz w:val="22"/>
                <w:szCs w:val="22"/>
                <w:lang w:val="en-GB" w:eastAsia="en-GB"/>
              </w:rPr>
              <w:t>7.5</w:t>
            </w:r>
          </w:p>
        </w:tc>
        <w:tc>
          <w:tcPr>
            <w:tcW w:w="679" w:type="dxa"/>
            <w:tcBorders>
              <w:top w:val="nil"/>
              <w:left w:val="nil"/>
              <w:bottom w:val="nil"/>
              <w:right w:val="nil"/>
            </w:tcBorders>
            <w:shd w:val="clear" w:color="auto" w:fill="auto"/>
            <w:noWrap/>
            <w:vAlign w:val="bottom"/>
            <w:hideMark/>
          </w:tcPr>
          <w:p w14:paraId="2A691F9B" w14:textId="77777777" w:rsidR="003078D9" w:rsidRPr="00A01CEA" w:rsidRDefault="003078D9" w:rsidP="00900A04">
            <w:pPr>
              <w:jc w:val="center"/>
              <w:rPr>
                <w:rFonts w:eastAsia="Times New Roman"/>
                <w:color w:val="000000"/>
                <w:sz w:val="22"/>
                <w:szCs w:val="22"/>
                <w:lang w:val="en-GB" w:eastAsia="en-GB"/>
              </w:rPr>
            </w:pPr>
            <w:r w:rsidRPr="00A01CEA">
              <w:rPr>
                <w:rFonts w:eastAsia="Times New Roman"/>
                <w:color w:val="000000"/>
                <w:sz w:val="22"/>
                <w:szCs w:val="22"/>
                <w:lang w:val="en-GB" w:eastAsia="en-GB"/>
              </w:rPr>
              <w:t>0.47</w:t>
            </w:r>
          </w:p>
        </w:tc>
        <w:tc>
          <w:tcPr>
            <w:tcW w:w="1641" w:type="dxa"/>
            <w:tcBorders>
              <w:top w:val="nil"/>
              <w:left w:val="nil"/>
              <w:bottom w:val="nil"/>
              <w:right w:val="nil"/>
            </w:tcBorders>
            <w:shd w:val="clear" w:color="auto" w:fill="auto"/>
            <w:noWrap/>
            <w:vAlign w:val="bottom"/>
            <w:hideMark/>
          </w:tcPr>
          <w:p w14:paraId="1DEE4B29" w14:textId="77777777" w:rsidR="003078D9" w:rsidRPr="00A01CEA" w:rsidRDefault="003078D9" w:rsidP="00900A04">
            <w:pPr>
              <w:jc w:val="center"/>
              <w:rPr>
                <w:rFonts w:eastAsia="Times New Roman"/>
                <w:color w:val="000000"/>
                <w:sz w:val="22"/>
                <w:szCs w:val="22"/>
                <w:lang w:val="en-GB" w:eastAsia="en-GB"/>
              </w:rPr>
            </w:pPr>
            <w:r w:rsidRPr="00A01CEA">
              <w:rPr>
                <w:rFonts w:eastAsia="Times New Roman"/>
                <w:color w:val="000000"/>
                <w:sz w:val="22"/>
                <w:szCs w:val="22"/>
                <w:lang w:val="en-GB" w:eastAsia="en-GB"/>
              </w:rPr>
              <w:t>(0.30,0.67)</w:t>
            </w:r>
          </w:p>
        </w:tc>
      </w:tr>
      <w:tr w:rsidR="003078D9" w:rsidRPr="00A01CEA" w14:paraId="3CECBA28" w14:textId="77777777" w:rsidTr="00900A04">
        <w:trPr>
          <w:trHeight w:val="280"/>
          <w:jc w:val="center"/>
        </w:trPr>
        <w:tc>
          <w:tcPr>
            <w:tcW w:w="1320" w:type="dxa"/>
            <w:tcBorders>
              <w:top w:val="nil"/>
              <w:left w:val="nil"/>
              <w:bottom w:val="nil"/>
              <w:right w:val="nil"/>
            </w:tcBorders>
            <w:shd w:val="clear" w:color="auto" w:fill="auto"/>
            <w:noWrap/>
            <w:vAlign w:val="bottom"/>
            <w:hideMark/>
          </w:tcPr>
          <w:p w14:paraId="23A5D935" w14:textId="77777777" w:rsidR="003078D9" w:rsidRPr="00A01CEA" w:rsidRDefault="003078D9" w:rsidP="00900A04">
            <w:pPr>
              <w:jc w:val="center"/>
              <w:rPr>
                <w:rFonts w:eastAsia="Times New Roman"/>
                <w:color w:val="000000"/>
                <w:sz w:val="22"/>
                <w:szCs w:val="22"/>
                <w:lang w:val="en-GB" w:eastAsia="en-GB"/>
              </w:rPr>
            </w:pPr>
            <w:r w:rsidRPr="00A01CEA">
              <w:rPr>
                <w:rFonts w:eastAsia="Times New Roman"/>
                <w:color w:val="000000"/>
                <w:sz w:val="22"/>
                <w:szCs w:val="22"/>
                <w:lang w:val="en-GB" w:eastAsia="en-GB"/>
              </w:rPr>
              <w:t>108</w:t>
            </w:r>
            <w:r>
              <w:rPr>
                <w:rFonts w:eastAsia="Times New Roman"/>
                <w:color w:val="000000"/>
                <w:sz w:val="22"/>
                <w:szCs w:val="22"/>
                <w:lang w:val="en-GB" w:eastAsia="en-GB"/>
              </w:rPr>
              <w:t>.0</w:t>
            </w:r>
          </w:p>
        </w:tc>
        <w:tc>
          <w:tcPr>
            <w:tcW w:w="679" w:type="dxa"/>
            <w:tcBorders>
              <w:top w:val="nil"/>
              <w:left w:val="nil"/>
              <w:bottom w:val="nil"/>
              <w:right w:val="nil"/>
            </w:tcBorders>
            <w:shd w:val="clear" w:color="auto" w:fill="auto"/>
            <w:noWrap/>
            <w:vAlign w:val="bottom"/>
            <w:hideMark/>
          </w:tcPr>
          <w:p w14:paraId="2C8A7EE7" w14:textId="77777777" w:rsidR="003078D9" w:rsidRPr="00A01CEA" w:rsidRDefault="003078D9" w:rsidP="00900A04">
            <w:pPr>
              <w:jc w:val="center"/>
              <w:rPr>
                <w:rFonts w:eastAsia="Times New Roman"/>
                <w:color w:val="000000"/>
                <w:sz w:val="22"/>
                <w:szCs w:val="22"/>
                <w:lang w:val="en-GB" w:eastAsia="en-GB"/>
              </w:rPr>
            </w:pPr>
            <w:r w:rsidRPr="00A01CEA">
              <w:rPr>
                <w:rFonts w:eastAsia="Times New Roman"/>
                <w:color w:val="000000"/>
                <w:sz w:val="22"/>
                <w:szCs w:val="22"/>
                <w:lang w:val="en-GB" w:eastAsia="en-GB"/>
              </w:rPr>
              <w:t>1.35</w:t>
            </w:r>
          </w:p>
        </w:tc>
        <w:tc>
          <w:tcPr>
            <w:tcW w:w="1641" w:type="dxa"/>
            <w:tcBorders>
              <w:top w:val="nil"/>
              <w:left w:val="nil"/>
              <w:bottom w:val="nil"/>
              <w:right w:val="nil"/>
            </w:tcBorders>
            <w:shd w:val="clear" w:color="auto" w:fill="auto"/>
            <w:noWrap/>
            <w:vAlign w:val="bottom"/>
            <w:hideMark/>
          </w:tcPr>
          <w:p w14:paraId="583323AE" w14:textId="77777777" w:rsidR="003078D9" w:rsidRPr="00A01CEA" w:rsidRDefault="003078D9" w:rsidP="00900A04">
            <w:pPr>
              <w:jc w:val="center"/>
              <w:rPr>
                <w:rFonts w:eastAsia="Times New Roman"/>
                <w:color w:val="000000"/>
                <w:sz w:val="22"/>
                <w:szCs w:val="22"/>
                <w:lang w:val="en-GB" w:eastAsia="en-GB"/>
              </w:rPr>
            </w:pPr>
            <w:r w:rsidRPr="00A01CEA">
              <w:rPr>
                <w:rFonts w:eastAsia="Times New Roman"/>
                <w:color w:val="000000"/>
                <w:sz w:val="22"/>
                <w:szCs w:val="22"/>
                <w:lang w:val="en-GB" w:eastAsia="en-GB"/>
              </w:rPr>
              <w:t>(0.99,1.80)</w:t>
            </w:r>
          </w:p>
        </w:tc>
      </w:tr>
      <w:tr w:rsidR="003078D9" w:rsidRPr="00A01CEA" w14:paraId="76FFA629" w14:textId="77777777" w:rsidTr="00900A04">
        <w:trPr>
          <w:trHeight w:val="280"/>
          <w:jc w:val="center"/>
        </w:trPr>
        <w:tc>
          <w:tcPr>
            <w:tcW w:w="1320" w:type="dxa"/>
            <w:tcBorders>
              <w:top w:val="nil"/>
              <w:left w:val="nil"/>
              <w:bottom w:val="nil"/>
              <w:right w:val="nil"/>
            </w:tcBorders>
            <w:shd w:val="clear" w:color="auto" w:fill="auto"/>
            <w:noWrap/>
            <w:vAlign w:val="bottom"/>
            <w:hideMark/>
          </w:tcPr>
          <w:p w14:paraId="60AE523E" w14:textId="77777777" w:rsidR="003078D9" w:rsidRPr="00A01CEA" w:rsidRDefault="003078D9" w:rsidP="00900A04">
            <w:pPr>
              <w:jc w:val="center"/>
              <w:rPr>
                <w:rFonts w:eastAsia="Times New Roman"/>
                <w:color w:val="000000"/>
                <w:sz w:val="22"/>
                <w:szCs w:val="22"/>
                <w:lang w:val="en-GB" w:eastAsia="en-GB"/>
              </w:rPr>
            </w:pPr>
            <w:r w:rsidRPr="00A01CEA">
              <w:rPr>
                <w:rFonts w:eastAsia="Times New Roman"/>
                <w:color w:val="000000"/>
                <w:sz w:val="22"/>
                <w:szCs w:val="22"/>
                <w:lang w:val="en-GB" w:eastAsia="en-GB"/>
              </w:rPr>
              <w:t>10</w:t>
            </w:r>
            <w:r>
              <w:rPr>
                <w:rFonts w:eastAsia="Times New Roman"/>
                <w:color w:val="000000"/>
                <w:sz w:val="22"/>
                <w:szCs w:val="22"/>
                <w:lang w:val="en-GB" w:eastAsia="en-GB"/>
              </w:rPr>
              <w:t>8.5</w:t>
            </w:r>
          </w:p>
        </w:tc>
        <w:tc>
          <w:tcPr>
            <w:tcW w:w="679" w:type="dxa"/>
            <w:tcBorders>
              <w:top w:val="nil"/>
              <w:left w:val="nil"/>
              <w:bottom w:val="nil"/>
              <w:right w:val="nil"/>
            </w:tcBorders>
            <w:shd w:val="clear" w:color="auto" w:fill="auto"/>
            <w:noWrap/>
            <w:vAlign w:val="bottom"/>
            <w:hideMark/>
          </w:tcPr>
          <w:p w14:paraId="1A95F9D4" w14:textId="77777777" w:rsidR="003078D9" w:rsidRPr="00A01CEA" w:rsidRDefault="003078D9" w:rsidP="00900A04">
            <w:pPr>
              <w:jc w:val="center"/>
              <w:rPr>
                <w:rFonts w:eastAsia="Times New Roman"/>
                <w:color w:val="000000"/>
                <w:sz w:val="22"/>
                <w:szCs w:val="22"/>
                <w:lang w:val="en-GB" w:eastAsia="en-GB"/>
              </w:rPr>
            </w:pPr>
            <w:r w:rsidRPr="00A01CEA">
              <w:rPr>
                <w:rFonts w:eastAsia="Times New Roman"/>
                <w:color w:val="000000"/>
                <w:sz w:val="22"/>
                <w:szCs w:val="22"/>
                <w:lang w:val="en-GB" w:eastAsia="en-GB"/>
              </w:rPr>
              <w:t>0.86</w:t>
            </w:r>
          </w:p>
        </w:tc>
        <w:tc>
          <w:tcPr>
            <w:tcW w:w="1641" w:type="dxa"/>
            <w:tcBorders>
              <w:top w:val="nil"/>
              <w:left w:val="nil"/>
              <w:bottom w:val="nil"/>
              <w:right w:val="nil"/>
            </w:tcBorders>
            <w:shd w:val="clear" w:color="auto" w:fill="auto"/>
            <w:noWrap/>
            <w:vAlign w:val="bottom"/>
            <w:hideMark/>
          </w:tcPr>
          <w:p w14:paraId="069E03AD" w14:textId="77777777" w:rsidR="003078D9" w:rsidRPr="00A01CEA" w:rsidRDefault="003078D9" w:rsidP="00900A04">
            <w:pPr>
              <w:jc w:val="center"/>
              <w:rPr>
                <w:rFonts w:eastAsia="Times New Roman"/>
                <w:color w:val="000000"/>
                <w:sz w:val="22"/>
                <w:szCs w:val="22"/>
                <w:lang w:val="en-GB" w:eastAsia="en-GB"/>
              </w:rPr>
            </w:pPr>
            <w:r w:rsidRPr="00A01CEA">
              <w:rPr>
                <w:rFonts w:eastAsia="Times New Roman"/>
                <w:color w:val="000000"/>
                <w:sz w:val="22"/>
                <w:szCs w:val="22"/>
                <w:lang w:val="en-GB" w:eastAsia="en-GB"/>
              </w:rPr>
              <w:t>(0.48,1.34)</w:t>
            </w:r>
          </w:p>
        </w:tc>
      </w:tr>
      <w:tr w:rsidR="003078D9" w:rsidRPr="00A01CEA" w14:paraId="062120DB" w14:textId="77777777" w:rsidTr="00900A04">
        <w:trPr>
          <w:trHeight w:val="280"/>
          <w:jc w:val="center"/>
        </w:trPr>
        <w:tc>
          <w:tcPr>
            <w:tcW w:w="1320" w:type="dxa"/>
            <w:tcBorders>
              <w:top w:val="nil"/>
              <w:left w:val="nil"/>
              <w:bottom w:val="nil"/>
              <w:right w:val="nil"/>
            </w:tcBorders>
            <w:shd w:val="clear" w:color="auto" w:fill="auto"/>
            <w:noWrap/>
            <w:vAlign w:val="bottom"/>
            <w:hideMark/>
          </w:tcPr>
          <w:p w14:paraId="48967A71" w14:textId="77777777" w:rsidR="003078D9" w:rsidRPr="00A01CEA" w:rsidRDefault="003078D9" w:rsidP="00900A04">
            <w:pPr>
              <w:jc w:val="center"/>
              <w:rPr>
                <w:rFonts w:eastAsia="Times New Roman"/>
                <w:color w:val="000000"/>
                <w:sz w:val="22"/>
                <w:szCs w:val="22"/>
                <w:lang w:val="en-GB" w:eastAsia="en-GB"/>
              </w:rPr>
            </w:pPr>
            <w:r w:rsidRPr="00A01CEA">
              <w:rPr>
                <w:rFonts w:eastAsia="Times New Roman"/>
                <w:color w:val="000000"/>
                <w:sz w:val="22"/>
                <w:szCs w:val="22"/>
                <w:lang w:val="en-GB" w:eastAsia="en-GB"/>
              </w:rPr>
              <w:t>109</w:t>
            </w:r>
            <w:r>
              <w:rPr>
                <w:rFonts w:eastAsia="Times New Roman"/>
                <w:color w:val="000000"/>
                <w:sz w:val="22"/>
                <w:szCs w:val="22"/>
                <w:lang w:val="en-GB" w:eastAsia="en-GB"/>
              </w:rPr>
              <w:t>.0</w:t>
            </w:r>
          </w:p>
        </w:tc>
        <w:tc>
          <w:tcPr>
            <w:tcW w:w="679" w:type="dxa"/>
            <w:tcBorders>
              <w:top w:val="nil"/>
              <w:left w:val="nil"/>
              <w:bottom w:val="nil"/>
              <w:right w:val="nil"/>
            </w:tcBorders>
            <w:shd w:val="clear" w:color="auto" w:fill="auto"/>
            <w:noWrap/>
            <w:vAlign w:val="bottom"/>
            <w:hideMark/>
          </w:tcPr>
          <w:p w14:paraId="4FE40B27" w14:textId="77777777" w:rsidR="003078D9" w:rsidRPr="00A01CEA" w:rsidRDefault="003078D9" w:rsidP="00900A04">
            <w:pPr>
              <w:jc w:val="center"/>
              <w:rPr>
                <w:rFonts w:eastAsia="Times New Roman"/>
                <w:color w:val="000000"/>
                <w:sz w:val="22"/>
                <w:szCs w:val="22"/>
                <w:lang w:val="en-GB" w:eastAsia="en-GB"/>
              </w:rPr>
            </w:pPr>
            <w:r w:rsidRPr="00A01CEA">
              <w:rPr>
                <w:rFonts w:eastAsia="Times New Roman"/>
                <w:color w:val="000000"/>
                <w:sz w:val="22"/>
                <w:szCs w:val="22"/>
                <w:lang w:val="en-GB" w:eastAsia="en-GB"/>
              </w:rPr>
              <w:t>0.96</w:t>
            </w:r>
          </w:p>
        </w:tc>
        <w:tc>
          <w:tcPr>
            <w:tcW w:w="1641" w:type="dxa"/>
            <w:tcBorders>
              <w:top w:val="nil"/>
              <w:left w:val="nil"/>
              <w:bottom w:val="nil"/>
              <w:right w:val="nil"/>
            </w:tcBorders>
            <w:shd w:val="clear" w:color="auto" w:fill="auto"/>
            <w:noWrap/>
            <w:vAlign w:val="bottom"/>
            <w:hideMark/>
          </w:tcPr>
          <w:p w14:paraId="7A8CC9A8" w14:textId="77777777" w:rsidR="003078D9" w:rsidRPr="00A01CEA" w:rsidRDefault="003078D9" w:rsidP="00900A04">
            <w:pPr>
              <w:jc w:val="center"/>
              <w:rPr>
                <w:rFonts w:eastAsia="Times New Roman"/>
                <w:color w:val="000000"/>
                <w:sz w:val="22"/>
                <w:szCs w:val="22"/>
                <w:lang w:val="en-GB" w:eastAsia="en-GB"/>
              </w:rPr>
            </w:pPr>
            <w:r w:rsidRPr="00A01CEA">
              <w:rPr>
                <w:rFonts w:eastAsia="Times New Roman"/>
                <w:color w:val="000000"/>
                <w:sz w:val="22"/>
                <w:szCs w:val="22"/>
                <w:lang w:val="en-GB" w:eastAsia="en-GB"/>
              </w:rPr>
              <w:t>(0.47,1.62)</w:t>
            </w:r>
          </w:p>
        </w:tc>
      </w:tr>
      <w:tr w:rsidR="003078D9" w:rsidRPr="00A01CEA" w14:paraId="03AD9848" w14:textId="77777777" w:rsidTr="00900A04">
        <w:trPr>
          <w:trHeight w:val="280"/>
          <w:jc w:val="center"/>
        </w:trPr>
        <w:tc>
          <w:tcPr>
            <w:tcW w:w="1320" w:type="dxa"/>
            <w:tcBorders>
              <w:top w:val="nil"/>
              <w:left w:val="nil"/>
              <w:right w:val="nil"/>
            </w:tcBorders>
            <w:shd w:val="clear" w:color="auto" w:fill="auto"/>
            <w:noWrap/>
            <w:vAlign w:val="bottom"/>
            <w:hideMark/>
          </w:tcPr>
          <w:p w14:paraId="3FF6178C" w14:textId="77777777" w:rsidR="003078D9" w:rsidRPr="00A01CEA" w:rsidRDefault="003078D9" w:rsidP="00900A04">
            <w:pPr>
              <w:jc w:val="center"/>
              <w:rPr>
                <w:rFonts w:eastAsia="Times New Roman"/>
                <w:color w:val="000000"/>
                <w:sz w:val="22"/>
                <w:szCs w:val="22"/>
                <w:lang w:val="en-GB" w:eastAsia="en-GB"/>
              </w:rPr>
            </w:pPr>
            <w:r w:rsidRPr="00A01CEA">
              <w:rPr>
                <w:rFonts w:eastAsia="Times New Roman"/>
                <w:color w:val="000000"/>
                <w:sz w:val="22"/>
                <w:szCs w:val="22"/>
                <w:lang w:val="en-GB" w:eastAsia="en-GB"/>
              </w:rPr>
              <w:t>1</w:t>
            </w:r>
            <w:r>
              <w:rPr>
                <w:rFonts w:eastAsia="Times New Roman"/>
                <w:color w:val="000000"/>
                <w:sz w:val="22"/>
                <w:szCs w:val="22"/>
                <w:lang w:val="en-GB" w:eastAsia="en-GB"/>
              </w:rPr>
              <w:t>09.5</w:t>
            </w:r>
          </w:p>
        </w:tc>
        <w:tc>
          <w:tcPr>
            <w:tcW w:w="679" w:type="dxa"/>
            <w:tcBorders>
              <w:top w:val="nil"/>
              <w:left w:val="nil"/>
              <w:right w:val="nil"/>
            </w:tcBorders>
            <w:shd w:val="clear" w:color="auto" w:fill="auto"/>
            <w:noWrap/>
            <w:vAlign w:val="bottom"/>
            <w:hideMark/>
          </w:tcPr>
          <w:p w14:paraId="5EF23338" w14:textId="77777777" w:rsidR="003078D9" w:rsidRPr="00A01CEA" w:rsidRDefault="003078D9" w:rsidP="00900A04">
            <w:pPr>
              <w:jc w:val="center"/>
              <w:rPr>
                <w:rFonts w:eastAsia="Times New Roman"/>
                <w:color w:val="000000"/>
                <w:sz w:val="22"/>
                <w:szCs w:val="22"/>
                <w:lang w:val="en-GB" w:eastAsia="en-GB"/>
              </w:rPr>
            </w:pPr>
            <w:r w:rsidRPr="00A01CEA">
              <w:rPr>
                <w:rFonts w:eastAsia="Times New Roman"/>
                <w:color w:val="000000"/>
                <w:sz w:val="22"/>
                <w:szCs w:val="22"/>
                <w:lang w:val="en-GB" w:eastAsia="en-GB"/>
              </w:rPr>
              <w:t>1.53</w:t>
            </w:r>
          </w:p>
        </w:tc>
        <w:tc>
          <w:tcPr>
            <w:tcW w:w="1641" w:type="dxa"/>
            <w:tcBorders>
              <w:top w:val="nil"/>
              <w:left w:val="nil"/>
              <w:right w:val="nil"/>
            </w:tcBorders>
            <w:shd w:val="clear" w:color="auto" w:fill="auto"/>
            <w:noWrap/>
            <w:vAlign w:val="bottom"/>
            <w:hideMark/>
          </w:tcPr>
          <w:p w14:paraId="0CA3D1A0" w14:textId="77777777" w:rsidR="003078D9" w:rsidRPr="00A01CEA" w:rsidRDefault="003078D9" w:rsidP="00900A04">
            <w:pPr>
              <w:jc w:val="center"/>
              <w:rPr>
                <w:rFonts w:eastAsia="Times New Roman"/>
                <w:color w:val="000000"/>
                <w:sz w:val="22"/>
                <w:szCs w:val="22"/>
                <w:lang w:val="en-GB" w:eastAsia="en-GB"/>
              </w:rPr>
            </w:pPr>
            <w:r w:rsidRPr="00A01CEA">
              <w:rPr>
                <w:rFonts w:eastAsia="Times New Roman"/>
                <w:color w:val="000000"/>
                <w:sz w:val="22"/>
                <w:szCs w:val="22"/>
                <w:lang w:val="en-GB" w:eastAsia="en-GB"/>
              </w:rPr>
              <w:t>(0.71,2.87)</w:t>
            </w:r>
          </w:p>
        </w:tc>
      </w:tr>
      <w:tr w:rsidR="003078D9" w:rsidRPr="00A01CEA" w14:paraId="3D0967FC" w14:textId="77777777" w:rsidTr="00900A04">
        <w:trPr>
          <w:trHeight w:val="280"/>
          <w:jc w:val="center"/>
        </w:trPr>
        <w:tc>
          <w:tcPr>
            <w:tcW w:w="1320" w:type="dxa"/>
            <w:tcBorders>
              <w:top w:val="nil"/>
              <w:left w:val="nil"/>
              <w:bottom w:val="single" w:sz="4" w:space="0" w:color="auto"/>
              <w:right w:val="nil"/>
            </w:tcBorders>
            <w:shd w:val="clear" w:color="auto" w:fill="auto"/>
            <w:noWrap/>
            <w:vAlign w:val="bottom"/>
            <w:hideMark/>
          </w:tcPr>
          <w:p w14:paraId="35B7BBA1" w14:textId="77777777" w:rsidR="003078D9" w:rsidRPr="00A01CEA" w:rsidRDefault="003078D9" w:rsidP="00900A04">
            <w:pPr>
              <w:jc w:val="center"/>
              <w:rPr>
                <w:rFonts w:eastAsia="Times New Roman"/>
                <w:color w:val="000000"/>
                <w:sz w:val="22"/>
                <w:szCs w:val="22"/>
                <w:lang w:val="en-GB" w:eastAsia="en-GB"/>
              </w:rPr>
            </w:pPr>
            <w:r w:rsidRPr="00A01CEA">
              <w:rPr>
                <w:rFonts w:eastAsia="Times New Roman"/>
                <w:color w:val="000000"/>
                <w:sz w:val="22"/>
                <w:szCs w:val="22"/>
                <w:lang w:val="en-GB" w:eastAsia="en-GB"/>
              </w:rPr>
              <w:t>110</w:t>
            </w:r>
            <w:r>
              <w:rPr>
                <w:rFonts w:eastAsia="Times New Roman"/>
                <w:color w:val="000000"/>
                <w:sz w:val="22"/>
                <w:szCs w:val="22"/>
                <w:lang w:val="en-GB" w:eastAsia="en-GB"/>
              </w:rPr>
              <w:t>.0</w:t>
            </w:r>
          </w:p>
        </w:tc>
        <w:tc>
          <w:tcPr>
            <w:tcW w:w="679" w:type="dxa"/>
            <w:tcBorders>
              <w:top w:val="nil"/>
              <w:left w:val="nil"/>
              <w:bottom w:val="single" w:sz="4" w:space="0" w:color="auto"/>
              <w:right w:val="nil"/>
            </w:tcBorders>
            <w:shd w:val="clear" w:color="auto" w:fill="auto"/>
            <w:noWrap/>
            <w:vAlign w:val="bottom"/>
            <w:hideMark/>
          </w:tcPr>
          <w:p w14:paraId="64A5CF2D" w14:textId="77777777" w:rsidR="003078D9" w:rsidRPr="00A01CEA" w:rsidRDefault="003078D9" w:rsidP="00900A04">
            <w:pPr>
              <w:jc w:val="center"/>
              <w:rPr>
                <w:rFonts w:eastAsia="Times New Roman"/>
                <w:color w:val="000000"/>
                <w:sz w:val="22"/>
                <w:szCs w:val="22"/>
                <w:lang w:val="en-GB" w:eastAsia="en-GB"/>
              </w:rPr>
            </w:pPr>
            <w:r w:rsidRPr="00A01CEA">
              <w:rPr>
                <w:rFonts w:eastAsia="Times New Roman"/>
                <w:color w:val="000000"/>
                <w:sz w:val="22"/>
                <w:szCs w:val="22"/>
                <w:lang w:val="en-GB" w:eastAsia="en-GB"/>
              </w:rPr>
              <w:t>1.31</w:t>
            </w:r>
          </w:p>
        </w:tc>
        <w:tc>
          <w:tcPr>
            <w:tcW w:w="1641" w:type="dxa"/>
            <w:tcBorders>
              <w:top w:val="nil"/>
              <w:left w:val="nil"/>
              <w:bottom w:val="single" w:sz="4" w:space="0" w:color="auto"/>
              <w:right w:val="nil"/>
            </w:tcBorders>
            <w:shd w:val="clear" w:color="auto" w:fill="auto"/>
            <w:noWrap/>
            <w:vAlign w:val="bottom"/>
            <w:hideMark/>
          </w:tcPr>
          <w:p w14:paraId="4809DA52" w14:textId="77777777" w:rsidR="003078D9" w:rsidRPr="00A01CEA" w:rsidRDefault="003078D9" w:rsidP="00900A04">
            <w:pPr>
              <w:jc w:val="center"/>
              <w:rPr>
                <w:rFonts w:eastAsia="Times New Roman"/>
                <w:color w:val="000000"/>
                <w:sz w:val="22"/>
                <w:szCs w:val="22"/>
                <w:lang w:val="en-GB" w:eastAsia="en-GB"/>
              </w:rPr>
            </w:pPr>
            <w:r w:rsidRPr="00A01CEA">
              <w:rPr>
                <w:rFonts w:eastAsia="Times New Roman"/>
                <w:color w:val="000000"/>
                <w:sz w:val="22"/>
                <w:szCs w:val="22"/>
                <w:lang w:val="en-GB" w:eastAsia="en-GB"/>
              </w:rPr>
              <w:t>(0.31,3.58)</w:t>
            </w:r>
          </w:p>
        </w:tc>
      </w:tr>
    </w:tbl>
    <w:p w14:paraId="79AE0550" w14:textId="10422FED" w:rsidR="003C5D0F" w:rsidRDefault="003D496D" w:rsidP="003C5D0F">
      <w:pPr>
        <w:pStyle w:val="SMHeading"/>
        <w:jc w:val="center"/>
      </w:pPr>
      <w:r>
        <w:rPr>
          <w:noProof/>
        </w:rPr>
        <w:lastRenderedPageBreak/>
        <w:drawing>
          <wp:inline distT="0" distB="0" distL="0" distR="0" wp14:anchorId="563542A1" wp14:editId="181E2899">
            <wp:extent cx="5832475" cy="4374515"/>
            <wp:effectExtent l="0" t="0" r="0" b="6985"/>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832475" cy="4374515"/>
                    </a:xfrm>
                    <a:prstGeom prst="rect">
                      <a:avLst/>
                    </a:prstGeom>
                  </pic:spPr>
                </pic:pic>
              </a:graphicData>
            </a:graphic>
          </wp:inline>
        </w:drawing>
      </w:r>
    </w:p>
    <w:p w14:paraId="240EBB63" w14:textId="5D816056" w:rsidR="003C5D0F" w:rsidRPr="00866707" w:rsidRDefault="00644B39" w:rsidP="003078D9">
      <w:pPr>
        <w:rPr>
          <w:sz w:val="24"/>
          <w:szCs w:val="24"/>
        </w:rPr>
      </w:pPr>
      <w:r w:rsidRPr="00866707">
        <w:rPr>
          <w:b/>
          <w:sz w:val="24"/>
          <w:szCs w:val="24"/>
        </w:rPr>
        <w:t>S1</w:t>
      </w:r>
      <w:r>
        <w:rPr>
          <w:b/>
          <w:sz w:val="24"/>
          <w:szCs w:val="24"/>
        </w:rPr>
        <w:t xml:space="preserve"> </w:t>
      </w:r>
      <w:r w:rsidR="003C5D0F" w:rsidRPr="00866707">
        <w:rPr>
          <w:b/>
          <w:sz w:val="24"/>
          <w:szCs w:val="24"/>
        </w:rPr>
        <w:t>Fig.</w:t>
      </w:r>
      <w:r w:rsidR="003C5D0F" w:rsidRPr="00866707">
        <w:rPr>
          <w:sz w:val="24"/>
          <w:szCs w:val="24"/>
        </w:rPr>
        <w:t xml:space="preserve"> </w:t>
      </w:r>
      <w:r w:rsidR="003C5D0F" w:rsidRPr="00866707">
        <w:rPr>
          <w:b/>
          <w:bCs/>
          <w:sz w:val="24"/>
          <w:szCs w:val="24"/>
        </w:rPr>
        <w:t>Risk of dying between ages 105 and 113 with 95% confidence intervals for females</w:t>
      </w:r>
      <w:r w:rsidR="003C5D0F" w:rsidRPr="00866707">
        <w:rPr>
          <w:sz w:val="24"/>
          <w:szCs w:val="24"/>
        </w:rPr>
        <w:t>. The risk of dying is expressed in age intervals of three months. The darker the shade</w:t>
      </w:r>
      <w:r w:rsidR="00503E0F" w:rsidRPr="00866707">
        <w:rPr>
          <w:sz w:val="24"/>
          <w:szCs w:val="24"/>
        </w:rPr>
        <w:t xml:space="preserve"> </w:t>
      </w:r>
      <w:r w:rsidR="003C5D0F" w:rsidRPr="00866707">
        <w:rPr>
          <w:sz w:val="24"/>
          <w:szCs w:val="24"/>
        </w:rPr>
        <w:t>of the dot plot, the greater the number of survivors during that specific age (i.e. subjects exposed to the risk of dying).</w:t>
      </w:r>
    </w:p>
    <w:p w14:paraId="2A048B5A" w14:textId="0B62B4B8" w:rsidR="00611761" w:rsidRPr="00866707" w:rsidRDefault="00611761">
      <w:pPr>
        <w:spacing w:after="160" w:line="259" w:lineRule="auto"/>
        <w:rPr>
          <w:sz w:val="24"/>
          <w:szCs w:val="24"/>
        </w:rPr>
      </w:pPr>
      <w:r w:rsidRPr="00866707">
        <w:rPr>
          <w:sz w:val="24"/>
          <w:szCs w:val="24"/>
        </w:rPr>
        <w:br w:type="page"/>
      </w:r>
    </w:p>
    <w:p w14:paraId="64BBB316" w14:textId="0FD22E55" w:rsidR="00611761" w:rsidRDefault="00611761" w:rsidP="003078D9">
      <w:pPr>
        <w:rPr>
          <w:sz w:val="22"/>
          <w:szCs w:val="22"/>
        </w:rPr>
      </w:pPr>
    </w:p>
    <w:p w14:paraId="4CE05F6E" w14:textId="10D5737D" w:rsidR="003C5D0F" w:rsidRDefault="003D496D" w:rsidP="003C5D0F">
      <w:pPr>
        <w:pStyle w:val="Legend"/>
      </w:pPr>
      <w:r>
        <w:rPr>
          <w:noProof/>
        </w:rPr>
        <w:drawing>
          <wp:inline distT="0" distB="0" distL="0" distR="0" wp14:anchorId="67BC3848" wp14:editId="5E96A785">
            <wp:extent cx="5832475" cy="4374515"/>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832475" cy="4374515"/>
                    </a:xfrm>
                    <a:prstGeom prst="rect">
                      <a:avLst/>
                    </a:prstGeom>
                  </pic:spPr>
                </pic:pic>
              </a:graphicData>
            </a:graphic>
          </wp:inline>
        </w:drawing>
      </w:r>
    </w:p>
    <w:p w14:paraId="56B9D4E7" w14:textId="556B929E" w:rsidR="003C5D0F" w:rsidRPr="003078D9" w:rsidRDefault="00644B39" w:rsidP="003078D9">
      <w:pPr>
        <w:rPr>
          <w:sz w:val="24"/>
          <w:szCs w:val="24"/>
        </w:rPr>
      </w:pPr>
      <w:r w:rsidRPr="003078D9">
        <w:rPr>
          <w:b/>
          <w:sz w:val="24"/>
          <w:szCs w:val="24"/>
        </w:rPr>
        <w:t>S2</w:t>
      </w:r>
      <w:r>
        <w:rPr>
          <w:b/>
          <w:sz w:val="24"/>
          <w:szCs w:val="24"/>
        </w:rPr>
        <w:t xml:space="preserve"> </w:t>
      </w:r>
      <w:r w:rsidR="003C5D0F" w:rsidRPr="003078D9">
        <w:rPr>
          <w:b/>
          <w:sz w:val="24"/>
          <w:szCs w:val="24"/>
        </w:rPr>
        <w:t>Fig.</w:t>
      </w:r>
      <w:r w:rsidR="003C5D0F" w:rsidRPr="003078D9">
        <w:rPr>
          <w:sz w:val="24"/>
          <w:szCs w:val="24"/>
        </w:rPr>
        <w:t xml:space="preserve"> </w:t>
      </w:r>
      <w:r w:rsidR="003C5D0F" w:rsidRPr="003078D9">
        <w:rPr>
          <w:b/>
          <w:bCs/>
          <w:sz w:val="24"/>
          <w:szCs w:val="24"/>
        </w:rPr>
        <w:t>Risk of dying between ages 105 and 113 with 95% confidence intervals for the total population</w:t>
      </w:r>
      <w:r w:rsidR="003C5D0F" w:rsidRPr="003078D9">
        <w:rPr>
          <w:sz w:val="24"/>
          <w:szCs w:val="24"/>
        </w:rPr>
        <w:t>. The risk of dying is expressed in age intervals of six months. The darker the shade of the dot plot, the greater the number of survivors during that specific age (i.e. subjects exposed to the risk of dying).</w:t>
      </w:r>
    </w:p>
    <w:p w14:paraId="7A5A966B" w14:textId="77777777" w:rsidR="003C5D0F" w:rsidRDefault="003C5D0F" w:rsidP="003C5D0F"/>
    <w:p w14:paraId="19902E68" w14:textId="149B1A31" w:rsidR="00B36DD2" w:rsidRDefault="00A03FA1"/>
    <w:p w14:paraId="31AF25A2" w14:textId="77777777" w:rsidR="00BD5B10" w:rsidRDefault="00BD5B10">
      <w:pPr>
        <w:spacing w:after="160" w:line="259" w:lineRule="auto"/>
        <w:rPr>
          <w:rFonts w:eastAsia="Times New Roman" w:cstheme="majorBidi"/>
          <w:b/>
          <w:sz w:val="32"/>
          <w:szCs w:val="32"/>
          <w:lang w:eastAsia="en-GB"/>
        </w:rPr>
      </w:pPr>
      <w:r>
        <w:rPr>
          <w:rFonts w:eastAsia="Times New Roman"/>
          <w:lang w:eastAsia="en-GB"/>
        </w:rPr>
        <w:br w:type="page"/>
      </w:r>
    </w:p>
    <w:p w14:paraId="3DE2E8DE" w14:textId="05DC7411" w:rsidR="005F40EC" w:rsidRPr="002A58B7" w:rsidRDefault="00BD5B10" w:rsidP="00C64D0E">
      <w:pPr>
        <w:pStyle w:val="Heading1"/>
        <w:numPr>
          <w:ilvl w:val="0"/>
          <w:numId w:val="2"/>
        </w:numPr>
        <w:rPr>
          <w:rFonts w:eastAsia="Times New Roman"/>
          <w:lang w:eastAsia="en-GB"/>
        </w:rPr>
      </w:pPr>
      <w:r>
        <w:rPr>
          <w:rFonts w:eastAsia="Times New Roman"/>
          <w:lang w:eastAsia="en-GB"/>
        </w:rPr>
        <w:lastRenderedPageBreak/>
        <w:t>C</w:t>
      </w:r>
      <w:r w:rsidR="005F40EC" w:rsidRPr="002A58B7">
        <w:rPr>
          <w:rFonts w:eastAsia="Times New Roman"/>
          <w:lang w:eastAsia="en-GB"/>
        </w:rPr>
        <w:t xml:space="preserve">oherent patterns between deceleration and levelling off in the risk of </w:t>
      </w:r>
      <w:proofErr w:type="gramStart"/>
      <w:r w:rsidR="005F40EC" w:rsidRPr="002A58B7">
        <w:rPr>
          <w:rFonts w:eastAsia="Times New Roman"/>
          <w:lang w:eastAsia="en-GB"/>
        </w:rPr>
        <w:t>dying</w:t>
      </w:r>
      <w:proofErr w:type="gramEnd"/>
    </w:p>
    <w:p w14:paraId="450C6F7B" w14:textId="1A6B5E30" w:rsidR="005F40EC" w:rsidRPr="005F40EC" w:rsidRDefault="00516FA7" w:rsidP="005F40EC">
      <w:pPr>
        <w:spacing w:beforeAutospacing="1" w:afterAutospacing="1"/>
        <w:jc w:val="both"/>
        <w:rPr>
          <w:rFonts w:eastAsia="Times New Roman"/>
          <w:b/>
          <w:bCs/>
          <w:sz w:val="24"/>
          <w:szCs w:val="24"/>
          <w:lang w:eastAsia="en-GB"/>
        </w:rPr>
      </w:pPr>
      <w:r>
        <w:rPr>
          <w:rFonts w:eastAsia="Times New Roman"/>
          <w:sz w:val="24"/>
          <w:szCs w:val="24"/>
          <w:lang w:eastAsia="en-GB"/>
        </w:rPr>
        <w:t>In this section w</w:t>
      </w:r>
      <w:r w:rsidR="005F40EC" w:rsidRPr="005F40EC">
        <w:rPr>
          <w:rFonts w:eastAsia="Times New Roman"/>
          <w:sz w:val="24"/>
          <w:szCs w:val="24"/>
          <w:lang w:eastAsia="en-GB"/>
        </w:rPr>
        <w:t xml:space="preserve">e perform additional analyses to </w:t>
      </w:r>
      <w:r w:rsidR="005D69D0">
        <w:rPr>
          <w:rFonts w:eastAsia="Times New Roman"/>
          <w:sz w:val="24"/>
          <w:szCs w:val="24"/>
          <w:lang w:eastAsia="en-GB"/>
        </w:rPr>
        <w:t>examine</w:t>
      </w:r>
      <w:r w:rsidR="005F40EC" w:rsidRPr="005F40EC">
        <w:rPr>
          <w:rFonts w:eastAsia="Times New Roman"/>
          <w:sz w:val="24"/>
          <w:szCs w:val="24"/>
          <w:lang w:eastAsia="en-GB"/>
        </w:rPr>
        <w:t xml:space="preserve"> the concordance of the trajectory of the risk of dying before age 105 with our estimates. Specifically, we calculated the risk of dying between ages 70 and 104 using cohort mortality data from the Human Mortality Database (2021). We retrieved age-specific death counts D(x) and exposures E(x) comprehending the same cohorts and populations included in our analysis in order to enable comparisons. </w:t>
      </w:r>
    </w:p>
    <w:p w14:paraId="091D8B91" w14:textId="39AAED7C" w:rsidR="005F40EC" w:rsidRPr="005F40EC" w:rsidRDefault="005F40EC" w:rsidP="005F40EC">
      <w:pPr>
        <w:spacing w:beforeAutospacing="1" w:afterAutospacing="1"/>
        <w:jc w:val="both"/>
        <w:rPr>
          <w:rFonts w:eastAsia="Times New Roman"/>
          <w:sz w:val="24"/>
          <w:szCs w:val="24"/>
          <w:lang w:eastAsia="en-GB"/>
        </w:rPr>
      </w:pPr>
      <w:r w:rsidRPr="005F40EC">
        <w:rPr>
          <w:rFonts w:eastAsia="Times New Roman"/>
          <w:sz w:val="24"/>
          <w:szCs w:val="24"/>
          <w:lang w:eastAsia="en-GB"/>
        </w:rPr>
        <w:t>In Figure</w:t>
      </w:r>
      <w:r w:rsidR="00B73CB7">
        <w:rPr>
          <w:rFonts w:eastAsia="Times New Roman"/>
          <w:sz w:val="24"/>
          <w:szCs w:val="24"/>
          <w:lang w:eastAsia="en-GB"/>
        </w:rPr>
        <w:t xml:space="preserve"> S</w:t>
      </w:r>
      <w:r w:rsidR="0027224B">
        <w:rPr>
          <w:rFonts w:eastAsia="Times New Roman"/>
          <w:sz w:val="24"/>
          <w:szCs w:val="24"/>
          <w:lang w:eastAsia="en-GB"/>
        </w:rPr>
        <w:t>3</w:t>
      </w:r>
      <w:r w:rsidRPr="005F40EC">
        <w:rPr>
          <w:rFonts w:eastAsia="Times New Roman"/>
          <w:sz w:val="24"/>
          <w:szCs w:val="24"/>
          <w:lang w:eastAsia="en-GB"/>
        </w:rPr>
        <w:t xml:space="preserve"> we show the calculation of the risk of dying for females in France, Germany and Belgium from ages 70 to 113 using both datasets. Blue circles show estimations from the Human Mortality Database and black points are our non-parametric estimations of the risk of dying from the International Database of Longevity (i.e. same results as in Figure 2 in the manuscript). Note that the estimates in Figure </w:t>
      </w:r>
      <w:r w:rsidR="00B73CB7">
        <w:rPr>
          <w:rFonts w:eastAsia="Times New Roman"/>
          <w:sz w:val="24"/>
          <w:szCs w:val="24"/>
          <w:lang w:eastAsia="en-GB"/>
        </w:rPr>
        <w:t>S</w:t>
      </w:r>
      <w:r w:rsidR="0027224B">
        <w:rPr>
          <w:rFonts w:eastAsia="Times New Roman"/>
          <w:sz w:val="24"/>
          <w:szCs w:val="24"/>
          <w:lang w:eastAsia="en-GB"/>
        </w:rPr>
        <w:t>3</w:t>
      </w:r>
      <w:r w:rsidRPr="005F40EC">
        <w:rPr>
          <w:rFonts w:eastAsia="Times New Roman"/>
          <w:sz w:val="24"/>
          <w:szCs w:val="24"/>
          <w:lang w:eastAsia="en-GB"/>
        </w:rPr>
        <w:t xml:space="preserve"> are in log scale.</w:t>
      </w:r>
    </w:p>
    <w:p w14:paraId="4D7FF0E6" w14:textId="77777777" w:rsidR="005F40EC" w:rsidRPr="005F40EC" w:rsidRDefault="005F40EC" w:rsidP="005F40EC">
      <w:pPr>
        <w:spacing w:beforeAutospacing="1" w:afterAutospacing="1"/>
        <w:jc w:val="both"/>
        <w:rPr>
          <w:rFonts w:eastAsia="Times New Roman"/>
          <w:sz w:val="24"/>
          <w:szCs w:val="24"/>
          <w:lang w:eastAsia="en-GB"/>
        </w:rPr>
      </w:pPr>
    </w:p>
    <w:p w14:paraId="40497C60" w14:textId="2BC1B83C" w:rsidR="005F40EC" w:rsidRPr="005F40EC" w:rsidRDefault="003D496D" w:rsidP="000D5457">
      <w:pPr>
        <w:spacing w:beforeAutospacing="1" w:afterAutospacing="1"/>
        <w:jc w:val="center"/>
        <w:rPr>
          <w:rFonts w:eastAsia="Times New Roman"/>
          <w:sz w:val="24"/>
          <w:szCs w:val="24"/>
          <w:lang w:eastAsia="en-GB"/>
        </w:rPr>
      </w:pPr>
      <w:r>
        <w:rPr>
          <w:rFonts w:eastAsia="Times New Roman"/>
          <w:noProof/>
          <w:sz w:val="24"/>
          <w:szCs w:val="24"/>
          <w:lang w:eastAsia="en-GB"/>
        </w:rPr>
        <w:drawing>
          <wp:inline distT="0" distB="0" distL="0" distR="0" wp14:anchorId="41C597E2" wp14:editId="67E7A1F0">
            <wp:extent cx="2986842" cy="4208734"/>
            <wp:effectExtent l="0" t="0" r="4445" b="1905"/>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90817" cy="4214335"/>
                    </a:xfrm>
                    <a:prstGeom prst="rect">
                      <a:avLst/>
                    </a:prstGeom>
                  </pic:spPr>
                </pic:pic>
              </a:graphicData>
            </a:graphic>
          </wp:inline>
        </w:drawing>
      </w:r>
    </w:p>
    <w:p w14:paraId="5E353A07" w14:textId="2411B0A4" w:rsidR="005F40EC" w:rsidRPr="005F40EC" w:rsidRDefault="00644B39" w:rsidP="005F40EC">
      <w:pPr>
        <w:spacing w:beforeAutospacing="1" w:afterAutospacing="1"/>
        <w:jc w:val="both"/>
        <w:rPr>
          <w:rFonts w:eastAsia="Times New Roman"/>
          <w:b/>
          <w:bCs/>
          <w:sz w:val="24"/>
          <w:szCs w:val="24"/>
          <w:lang w:eastAsia="en-GB"/>
        </w:rPr>
      </w:pPr>
      <w:r w:rsidRPr="00DA1CA8">
        <w:rPr>
          <w:rFonts w:eastAsia="Times New Roman"/>
          <w:b/>
          <w:bCs/>
          <w:sz w:val="24"/>
          <w:szCs w:val="24"/>
          <w:lang w:eastAsia="en-GB"/>
        </w:rPr>
        <w:t>S3</w:t>
      </w:r>
      <w:r>
        <w:rPr>
          <w:rFonts w:eastAsia="Times New Roman"/>
          <w:b/>
          <w:bCs/>
          <w:sz w:val="24"/>
          <w:szCs w:val="24"/>
          <w:lang w:eastAsia="en-GB"/>
        </w:rPr>
        <w:t xml:space="preserve"> </w:t>
      </w:r>
      <w:r w:rsidR="005F40EC" w:rsidRPr="00DA1CA8">
        <w:rPr>
          <w:rFonts w:eastAsia="Times New Roman"/>
          <w:b/>
          <w:bCs/>
          <w:sz w:val="24"/>
          <w:szCs w:val="24"/>
          <w:lang w:eastAsia="en-GB"/>
        </w:rPr>
        <w:t>Fig. Risk of dying from ages 70 to 113 for females.</w:t>
      </w:r>
      <w:r w:rsidR="005F40EC" w:rsidRPr="003078D9">
        <w:rPr>
          <w:rFonts w:eastAsia="Times New Roman"/>
          <w:sz w:val="24"/>
          <w:szCs w:val="24"/>
          <w:lang w:eastAsia="en-GB"/>
        </w:rPr>
        <w:t xml:space="preserve"> Estimates from age 70 to age 105 were retrieved from the Human Mortality Database (2021)</w:t>
      </w:r>
    </w:p>
    <w:p w14:paraId="09F9ACFE" w14:textId="6CB8CE83" w:rsidR="005F40EC" w:rsidRPr="005F40EC" w:rsidRDefault="005F40EC" w:rsidP="005F40EC">
      <w:pPr>
        <w:spacing w:beforeAutospacing="1" w:afterAutospacing="1"/>
        <w:jc w:val="both"/>
        <w:rPr>
          <w:rFonts w:eastAsia="Times New Roman"/>
          <w:sz w:val="24"/>
          <w:szCs w:val="24"/>
          <w:lang w:eastAsia="en-GB"/>
        </w:rPr>
      </w:pPr>
      <w:r w:rsidRPr="005F40EC">
        <w:rPr>
          <w:rFonts w:eastAsia="Times New Roman"/>
          <w:sz w:val="24"/>
          <w:szCs w:val="24"/>
          <w:lang w:eastAsia="en-GB"/>
        </w:rPr>
        <w:t xml:space="preserve">Figure </w:t>
      </w:r>
      <w:r w:rsidR="00B73CB7">
        <w:rPr>
          <w:rFonts w:eastAsia="Times New Roman"/>
          <w:sz w:val="24"/>
          <w:szCs w:val="24"/>
          <w:lang w:eastAsia="en-GB"/>
        </w:rPr>
        <w:t>S</w:t>
      </w:r>
      <w:r w:rsidR="0027224B">
        <w:rPr>
          <w:rFonts w:eastAsia="Times New Roman"/>
          <w:sz w:val="24"/>
          <w:szCs w:val="24"/>
          <w:lang w:eastAsia="en-GB"/>
        </w:rPr>
        <w:t>3</w:t>
      </w:r>
      <w:r w:rsidR="00B73CB7">
        <w:rPr>
          <w:rFonts w:eastAsia="Times New Roman"/>
          <w:sz w:val="24"/>
          <w:szCs w:val="24"/>
          <w:lang w:eastAsia="en-GB"/>
        </w:rPr>
        <w:t xml:space="preserve"> </w:t>
      </w:r>
      <w:r w:rsidRPr="005F40EC">
        <w:rPr>
          <w:rFonts w:eastAsia="Times New Roman"/>
          <w:sz w:val="24"/>
          <w:szCs w:val="24"/>
          <w:lang w:eastAsia="en-GB"/>
        </w:rPr>
        <w:t xml:space="preserve">shows concordant patterns between both datasets. Moreover, a deceleration in the increase of the risk of dying takes place before age 100. To formally test this </w:t>
      </w:r>
      <w:r w:rsidR="00B73CB7">
        <w:rPr>
          <w:rFonts w:eastAsia="Times New Roman"/>
          <w:sz w:val="24"/>
          <w:szCs w:val="24"/>
          <w:lang w:eastAsia="en-GB"/>
        </w:rPr>
        <w:t>pattern</w:t>
      </w:r>
      <w:r w:rsidRPr="005F40EC">
        <w:rPr>
          <w:rFonts w:eastAsia="Times New Roman"/>
          <w:sz w:val="24"/>
          <w:szCs w:val="24"/>
          <w:lang w:eastAsia="en-GB"/>
        </w:rPr>
        <w:t xml:space="preserve">, we fitted a Gompertz model from ages 70 and 80 such that the hazard is given by </w:t>
      </w:r>
      <m:oMath>
        <m:r>
          <m:rPr>
            <m:sty m:val="p"/>
          </m:rPr>
          <w:rPr>
            <w:rFonts w:ascii="Cambria Math" w:hAnsi="Cambria Math"/>
            <w:sz w:val="24"/>
            <w:szCs w:val="24"/>
          </w:rPr>
          <m:t>μ</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hAnsi="Cambria Math"/>
            <w:sz w:val="24"/>
            <w:szCs w:val="24"/>
          </w:rPr>
          <m:t>=a</m:t>
        </m:r>
        <m:sSup>
          <m:sSupPr>
            <m:ctrlPr>
              <w:rPr>
                <w:rFonts w:ascii="Cambria Math" w:hAnsi="Cambria Math"/>
                <w:sz w:val="24"/>
                <w:szCs w:val="24"/>
              </w:rPr>
            </m:ctrlPr>
          </m:sSupPr>
          <m:e>
            <m:r>
              <m:rPr>
                <m:sty m:val="p"/>
              </m:rPr>
              <w:rPr>
                <w:rFonts w:ascii="Cambria Math" w:hAnsi="Cambria Math"/>
                <w:sz w:val="24"/>
                <w:szCs w:val="24"/>
              </w:rPr>
              <m:t>e</m:t>
            </m:r>
          </m:e>
          <m:sup>
            <m:r>
              <m:rPr>
                <m:sty m:val="p"/>
              </m:rPr>
              <w:rPr>
                <w:rFonts w:ascii="Cambria Math" w:hAnsi="Cambria Math"/>
                <w:sz w:val="24"/>
                <w:szCs w:val="24"/>
              </w:rPr>
              <m:t>bx</m:t>
            </m:r>
          </m:sup>
        </m:sSup>
      </m:oMath>
      <w:r w:rsidRPr="005F40EC">
        <w:rPr>
          <w:rFonts w:eastAsia="Times New Roman"/>
          <w:sz w:val="24"/>
          <w:szCs w:val="24"/>
          <w:lang w:eastAsia="en-GB"/>
        </w:rPr>
        <w:t xml:space="preserve">, where the </w:t>
      </w:r>
      <w:r w:rsidRPr="005F40EC">
        <w:rPr>
          <w:rFonts w:eastAsia="Times New Roman"/>
          <w:sz w:val="24"/>
          <w:szCs w:val="24"/>
          <w:lang w:eastAsia="en-GB"/>
        </w:rPr>
        <w:lastRenderedPageBreak/>
        <w:t xml:space="preserve">parameter “a” indicates the initial value of the risk of dying and parameter “b” represents the rate of increase in </w:t>
      </w:r>
      <m:oMath>
        <m:r>
          <m:rPr>
            <m:sty m:val="p"/>
          </m:rPr>
          <w:rPr>
            <w:rFonts w:ascii="Cambria Math" w:hAnsi="Cambria Math"/>
            <w:sz w:val="24"/>
            <w:szCs w:val="24"/>
          </w:rPr>
          <m:t>μ</m:t>
        </m:r>
        <m:d>
          <m:dPr>
            <m:ctrlPr>
              <w:rPr>
                <w:rFonts w:ascii="Cambria Math" w:hAnsi="Cambria Math"/>
                <w:sz w:val="24"/>
                <w:szCs w:val="24"/>
              </w:rPr>
            </m:ctrlPr>
          </m:dPr>
          <m:e>
            <m:r>
              <m:rPr>
                <m:sty m:val="p"/>
              </m:rPr>
              <w:rPr>
                <w:rFonts w:ascii="Cambria Math" w:hAnsi="Cambria Math"/>
                <w:sz w:val="24"/>
                <w:szCs w:val="24"/>
              </w:rPr>
              <m:t>x</m:t>
            </m:r>
          </m:e>
        </m:d>
      </m:oMath>
      <w:r w:rsidRPr="005F40EC">
        <w:rPr>
          <w:rFonts w:eastAsia="Times New Roman"/>
          <w:sz w:val="24"/>
          <w:szCs w:val="24"/>
          <w:lang w:eastAsia="en-GB"/>
        </w:rPr>
        <w:t>. The estimation was performed by maximizing the Poisson log-likelihood:</w:t>
      </w:r>
    </w:p>
    <w:p w14:paraId="4A6E376F" w14:textId="1B2265D0" w:rsidR="005F40EC" w:rsidRPr="005F40EC" w:rsidRDefault="005F40EC" w:rsidP="005F40EC">
      <w:pPr>
        <w:spacing w:beforeAutospacing="1" w:afterAutospacing="1"/>
        <w:jc w:val="both"/>
        <w:rPr>
          <w:rFonts w:eastAsia="Times New Roman"/>
          <w:sz w:val="24"/>
          <w:szCs w:val="24"/>
          <w:lang w:val="es-MX" w:eastAsia="en-GB"/>
        </w:rPr>
      </w:pPr>
      <m:oMathPara>
        <m:oMath>
          <m:r>
            <m:rPr>
              <m:sty m:val="p"/>
            </m:rPr>
            <w:rPr>
              <w:rFonts w:ascii="Cambria Math" w:hAnsi="Cambria Math"/>
              <w:sz w:val="24"/>
              <w:szCs w:val="24"/>
            </w:rPr>
            <m:t>L</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hAnsi="Cambria Math"/>
              <w:sz w:val="24"/>
              <w:szCs w:val="24"/>
            </w:rPr>
            <m:t>=</m:t>
          </m:r>
          <m:nary>
            <m:naryPr>
              <m:chr m:val="∑"/>
              <m:subHide m:val="1"/>
              <m:supHide m:val="1"/>
              <m:ctrlPr>
                <w:rPr>
                  <w:rFonts w:ascii="Cambria Math" w:hAnsi="Cambria Math"/>
                  <w:sz w:val="24"/>
                  <w:szCs w:val="24"/>
                </w:rPr>
              </m:ctrlPr>
            </m:naryPr>
            <m:sub/>
            <m:sup/>
            <m:e>
              <m:d>
                <m:dPr>
                  <m:ctrlPr>
                    <w:rPr>
                      <w:rFonts w:ascii="Cambria Math" w:hAnsi="Cambria Math"/>
                      <w:sz w:val="24"/>
                      <w:szCs w:val="24"/>
                    </w:rPr>
                  </m:ctrlPr>
                </m:dPr>
                <m:e>
                  <m:r>
                    <m:rPr>
                      <m:sty m:val="p"/>
                    </m:rPr>
                    <w:rPr>
                      <w:rFonts w:ascii="Cambria Math" w:hAnsi="Cambria Math"/>
                      <w:sz w:val="24"/>
                      <w:szCs w:val="24"/>
                    </w:rPr>
                    <m:t>D</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hAnsi="Cambria Math"/>
                      <w:sz w:val="24"/>
                      <w:szCs w:val="24"/>
                    </w:rPr>
                    <m:t>*ln</m:t>
                  </m:r>
                  <m:d>
                    <m:dPr>
                      <m:ctrlPr>
                        <w:rPr>
                          <w:rFonts w:ascii="Cambria Math" w:hAnsi="Cambria Math"/>
                          <w:sz w:val="24"/>
                          <w:szCs w:val="24"/>
                        </w:rPr>
                      </m:ctrlPr>
                    </m:dPr>
                    <m:e>
                      <m:r>
                        <m:rPr>
                          <m:sty m:val="p"/>
                        </m:rPr>
                        <w:rPr>
                          <w:rFonts w:ascii="Cambria Math" w:hAnsi="Cambria Math"/>
                          <w:sz w:val="24"/>
                          <w:szCs w:val="24"/>
                        </w:rPr>
                        <m:t>μ</m:t>
                      </m:r>
                      <m:d>
                        <m:dPr>
                          <m:ctrlPr>
                            <w:rPr>
                              <w:rFonts w:ascii="Cambria Math" w:hAnsi="Cambria Math"/>
                              <w:sz w:val="24"/>
                              <w:szCs w:val="24"/>
                            </w:rPr>
                          </m:ctrlPr>
                        </m:dPr>
                        <m:e>
                          <m:r>
                            <m:rPr>
                              <m:sty m:val="p"/>
                            </m:rPr>
                            <w:rPr>
                              <w:rFonts w:ascii="Cambria Math" w:hAnsi="Cambria Math"/>
                              <w:sz w:val="24"/>
                              <w:szCs w:val="24"/>
                            </w:rPr>
                            <m:t>x</m:t>
                          </m:r>
                        </m:e>
                      </m:d>
                    </m:e>
                  </m:d>
                  <m:r>
                    <m:rPr>
                      <m:sty m:val="p"/>
                    </m:rPr>
                    <w:rPr>
                      <w:rFonts w:ascii="Cambria Math" w:hAnsi="Cambria Math"/>
                      <w:sz w:val="24"/>
                      <w:szCs w:val="24"/>
                    </w:rPr>
                    <m:t>-E</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hAnsi="Cambria Math"/>
                      <w:sz w:val="24"/>
                      <w:szCs w:val="24"/>
                    </w:rPr>
                    <m:t>*μ</m:t>
                  </m:r>
                  <m:d>
                    <m:dPr>
                      <m:ctrlPr>
                        <w:rPr>
                          <w:rFonts w:ascii="Cambria Math" w:hAnsi="Cambria Math"/>
                          <w:sz w:val="24"/>
                          <w:szCs w:val="24"/>
                        </w:rPr>
                      </m:ctrlPr>
                    </m:dPr>
                    <m:e>
                      <m:r>
                        <m:rPr>
                          <m:sty m:val="p"/>
                        </m:rPr>
                        <w:rPr>
                          <w:rFonts w:ascii="Cambria Math" w:hAnsi="Cambria Math"/>
                          <w:sz w:val="24"/>
                          <w:szCs w:val="24"/>
                        </w:rPr>
                        <m:t>x</m:t>
                      </m:r>
                    </m:e>
                  </m:d>
                </m:e>
              </m:d>
            </m:e>
          </m:nary>
        </m:oMath>
      </m:oMathPara>
    </w:p>
    <w:p w14:paraId="094BB3D9" w14:textId="0D12C416" w:rsidR="005F40EC" w:rsidRDefault="005F40EC" w:rsidP="005F40EC">
      <w:pPr>
        <w:spacing w:beforeAutospacing="1" w:afterAutospacing="1"/>
        <w:jc w:val="both"/>
        <w:rPr>
          <w:rFonts w:eastAsia="Times New Roman"/>
          <w:sz w:val="24"/>
          <w:szCs w:val="24"/>
          <w:lang w:eastAsia="en-GB"/>
        </w:rPr>
      </w:pPr>
      <w:r w:rsidRPr="005F40EC">
        <w:rPr>
          <w:rFonts w:eastAsia="Times New Roman"/>
          <w:sz w:val="24"/>
          <w:szCs w:val="24"/>
          <w:lang w:eastAsia="en-GB"/>
        </w:rPr>
        <w:t xml:space="preserve">Blue straight lines in Figures </w:t>
      </w:r>
      <w:r w:rsidR="006530A5">
        <w:rPr>
          <w:rFonts w:eastAsia="Times New Roman"/>
          <w:sz w:val="24"/>
          <w:szCs w:val="24"/>
          <w:lang w:eastAsia="en-GB"/>
        </w:rPr>
        <w:t>S</w:t>
      </w:r>
      <w:r w:rsidR="0027224B">
        <w:rPr>
          <w:rFonts w:eastAsia="Times New Roman"/>
          <w:sz w:val="24"/>
          <w:szCs w:val="24"/>
          <w:lang w:eastAsia="en-GB"/>
        </w:rPr>
        <w:t>3</w:t>
      </w:r>
      <w:r w:rsidRPr="005F40EC">
        <w:rPr>
          <w:rFonts w:eastAsia="Times New Roman"/>
          <w:sz w:val="24"/>
          <w:szCs w:val="24"/>
          <w:lang w:eastAsia="en-GB"/>
        </w:rPr>
        <w:t xml:space="preserve"> show the resulting Gompertz hazard. The parameters of the model are shown in Table </w:t>
      </w:r>
      <w:r w:rsidR="006530A5">
        <w:rPr>
          <w:rFonts w:eastAsia="Times New Roman"/>
          <w:sz w:val="24"/>
          <w:szCs w:val="24"/>
          <w:lang w:eastAsia="en-GB"/>
        </w:rPr>
        <w:t>S</w:t>
      </w:r>
      <w:r w:rsidR="00A85520">
        <w:rPr>
          <w:rFonts w:eastAsia="Times New Roman"/>
          <w:sz w:val="24"/>
          <w:szCs w:val="24"/>
          <w:lang w:eastAsia="en-GB"/>
        </w:rPr>
        <w:t>2</w:t>
      </w:r>
      <w:r w:rsidRPr="005F40EC">
        <w:rPr>
          <w:rFonts w:eastAsia="Times New Roman"/>
          <w:sz w:val="24"/>
          <w:szCs w:val="24"/>
          <w:lang w:eastAsia="en-GB"/>
        </w:rPr>
        <w:t>. From Figure</w:t>
      </w:r>
      <w:r w:rsidR="006530A5">
        <w:rPr>
          <w:rFonts w:eastAsia="Times New Roman"/>
          <w:sz w:val="24"/>
          <w:szCs w:val="24"/>
          <w:lang w:eastAsia="en-GB"/>
        </w:rPr>
        <w:t xml:space="preserve"> S</w:t>
      </w:r>
      <w:r w:rsidR="00412802">
        <w:rPr>
          <w:rFonts w:eastAsia="Times New Roman"/>
          <w:sz w:val="24"/>
          <w:szCs w:val="24"/>
          <w:lang w:eastAsia="en-GB"/>
        </w:rPr>
        <w:t>3</w:t>
      </w:r>
      <w:r w:rsidRPr="005F40EC">
        <w:rPr>
          <w:rFonts w:eastAsia="Times New Roman"/>
          <w:sz w:val="24"/>
          <w:szCs w:val="24"/>
          <w:lang w:eastAsia="en-GB"/>
        </w:rPr>
        <w:t>, we can observe that the risk of dying deviates from the Gompertz pattern before age 100. Depending on the population such deviations occur at ages between 80 and 90. The findings of this analysis are in line with previous investigations arguing for a deceleration in the risk of dying and a deviation from the Gompertz parametric model occurring prior age 100 (Perks (1932), Horiuchi and Wilmoth (</w:t>
      </w:r>
      <w:r w:rsidR="00E877AF">
        <w:rPr>
          <w:rFonts w:eastAsia="Times New Roman"/>
          <w:sz w:val="24"/>
          <w:szCs w:val="24"/>
          <w:lang w:eastAsia="en-GB"/>
        </w:rPr>
        <w:t>1998</w:t>
      </w:r>
      <w:r w:rsidRPr="005F40EC">
        <w:rPr>
          <w:rFonts w:eastAsia="Times New Roman"/>
          <w:sz w:val="24"/>
          <w:szCs w:val="24"/>
          <w:lang w:eastAsia="en-GB"/>
        </w:rPr>
        <w:t>)).</w:t>
      </w:r>
    </w:p>
    <w:p w14:paraId="2C51F4DA" w14:textId="5F2B1B79" w:rsidR="003078D9" w:rsidRDefault="003078D9" w:rsidP="005F40EC">
      <w:pPr>
        <w:spacing w:beforeAutospacing="1" w:afterAutospacing="1"/>
        <w:jc w:val="both"/>
        <w:rPr>
          <w:rFonts w:eastAsia="Times New Roman"/>
          <w:sz w:val="24"/>
          <w:szCs w:val="24"/>
          <w:lang w:eastAsia="en-GB"/>
        </w:rPr>
      </w:pPr>
    </w:p>
    <w:p w14:paraId="727F5681" w14:textId="0D704A50" w:rsidR="003078D9" w:rsidRPr="003B718F" w:rsidRDefault="00644B39" w:rsidP="003078D9">
      <w:pPr>
        <w:spacing w:beforeAutospacing="1" w:afterAutospacing="1"/>
        <w:jc w:val="both"/>
        <w:rPr>
          <w:rFonts w:eastAsia="Times New Roman"/>
          <w:b/>
          <w:bCs/>
          <w:sz w:val="24"/>
          <w:szCs w:val="24"/>
          <w:lang w:eastAsia="en-GB"/>
        </w:rPr>
      </w:pPr>
      <w:r>
        <w:rPr>
          <w:rFonts w:eastAsia="Times New Roman"/>
          <w:b/>
          <w:bCs/>
          <w:sz w:val="24"/>
          <w:szCs w:val="24"/>
          <w:lang w:eastAsia="en-GB"/>
        </w:rPr>
        <w:t xml:space="preserve">S2 </w:t>
      </w:r>
      <w:r w:rsidR="003078D9" w:rsidRPr="005F40EC">
        <w:rPr>
          <w:rFonts w:eastAsia="Times New Roman"/>
          <w:b/>
          <w:bCs/>
          <w:sz w:val="24"/>
          <w:szCs w:val="24"/>
          <w:lang w:eastAsia="en-GB"/>
        </w:rPr>
        <w:t xml:space="preserve">Table. </w:t>
      </w:r>
      <w:r w:rsidR="003078D9" w:rsidRPr="003B718F">
        <w:rPr>
          <w:rFonts w:eastAsia="Times New Roman"/>
          <w:b/>
          <w:bCs/>
          <w:sz w:val="24"/>
          <w:szCs w:val="24"/>
          <w:lang w:eastAsia="en-GB"/>
        </w:rPr>
        <w:t>Parameters and goodness of fit for Gompertz hazard model using cohort data from the Human Mortality Database, Females</w:t>
      </w:r>
      <w:r w:rsidR="003B718F">
        <w:rPr>
          <w:rFonts w:eastAsia="Times New Roman"/>
          <w:b/>
          <w:bCs/>
          <w:sz w:val="24"/>
          <w:szCs w:val="24"/>
          <w:lang w:eastAsia="en-GB"/>
        </w:rPr>
        <w:t>.</w:t>
      </w:r>
    </w:p>
    <w:p w14:paraId="6E203349" w14:textId="77777777" w:rsidR="005F40EC" w:rsidRPr="005F40EC" w:rsidRDefault="005F40EC" w:rsidP="005F40EC">
      <w:pPr>
        <w:spacing w:beforeAutospacing="1" w:afterAutospacing="1"/>
        <w:jc w:val="center"/>
        <w:rPr>
          <w:rFonts w:eastAsia="Times New Roman"/>
          <w:sz w:val="24"/>
          <w:szCs w:val="24"/>
          <w:lang w:eastAsia="en-GB"/>
        </w:rPr>
      </w:pPr>
      <w:r w:rsidRPr="005F40EC">
        <w:rPr>
          <w:noProof/>
          <w:sz w:val="24"/>
          <w:szCs w:val="24"/>
        </w:rPr>
        <w:drawing>
          <wp:inline distT="0" distB="0" distL="0" distR="0" wp14:anchorId="67B712E5" wp14:editId="5360C77F">
            <wp:extent cx="4858038" cy="295910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4"/>
                    <a:stretch>
                      <a:fillRect/>
                    </a:stretch>
                  </pic:blipFill>
                  <pic:spPr bwMode="auto">
                    <a:xfrm>
                      <a:off x="0" y="0"/>
                      <a:ext cx="4887136" cy="2976824"/>
                    </a:xfrm>
                    <a:prstGeom prst="rect">
                      <a:avLst/>
                    </a:prstGeom>
                  </pic:spPr>
                </pic:pic>
              </a:graphicData>
            </a:graphic>
          </wp:inline>
        </w:drawing>
      </w:r>
    </w:p>
    <w:p w14:paraId="15DE1D02" w14:textId="77777777" w:rsidR="002A58B7" w:rsidRDefault="002A58B7">
      <w:pPr>
        <w:spacing w:after="160" w:line="259" w:lineRule="auto"/>
        <w:rPr>
          <w:rFonts w:eastAsia="Times New Roman"/>
          <w:b/>
          <w:bCs/>
          <w:sz w:val="24"/>
          <w:szCs w:val="24"/>
          <w:lang w:eastAsia="en-GB"/>
        </w:rPr>
      </w:pPr>
      <w:r>
        <w:rPr>
          <w:rFonts w:eastAsia="Times New Roman"/>
          <w:b/>
          <w:bCs/>
          <w:sz w:val="24"/>
          <w:szCs w:val="24"/>
          <w:lang w:eastAsia="en-GB"/>
        </w:rPr>
        <w:br w:type="page"/>
      </w:r>
    </w:p>
    <w:p w14:paraId="431CE7B3" w14:textId="5304BA72" w:rsidR="005F40EC" w:rsidRPr="003078D9" w:rsidRDefault="002A58B7" w:rsidP="003078D9">
      <w:pPr>
        <w:pStyle w:val="Heading1"/>
      </w:pPr>
      <w:r w:rsidRPr="003078D9">
        <w:lastRenderedPageBreak/>
        <w:t>References</w:t>
      </w:r>
    </w:p>
    <w:p w14:paraId="41C0BBB3" w14:textId="77777777" w:rsidR="002A58B7" w:rsidRDefault="002A58B7">
      <w:pPr>
        <w:rPr>
          <w:sz w:val="24"/>
          <w:szCs w:val="24"/>
        </w:rPr>
      </w:pPr>
    </w:p>
    <w:p w14:paraId="7A3D38BB" w14:textId="1198A8D6" w:rsidR="002A58B7" w:rsidRDefault="002A58B7">
      <w:pPr>
        <w:rPr>
          <w:sz w:val="24"/>
          <w:szCs w:val="24"/>
        </w:rPr>
      </w:pPr>
      <w:r w:rsidRPr="002A58B7">
        <w:rPr>
          <w:sz w:val="24"/>
          <w:szCs w:val="24"/>
        </w:rPr>
        <w:t>Human Mortality Database. University of California, Berkeley (USA), and Max Planck Institute for Demographic Research (Germany). Available at www.mortality.org or www.humanmortality.de (</w:t>
      </w:r>
      <w:r>
        <w:rPr>
          <w:sz w:val="24"/>
          <w:szCs w:val="24"/>
        </w:rPr>
        <w:t>2021</w:t>
      </w:r>
      <w:r w:rsidRPr="002A58B7">
        <w:rPr>
          <w:sz w:val="24"/>
          <w:szCs w:val="24"/>
        </w:rPr>
        <w:t>).</w:t>
      </w:r>
    </w:p>
    <w:p w14:paraId="711C8978" w14:textId="77777777" w:rsidR="00BA486F" w:rsidRDefault="00BA486F" w:rsidP="00BA486F">
      <w:pPr>
        <w:rPr>
          <w:sz w:val="24"/>
          <w:szCs w:val="24"/>
        </w:rPr>
      </w:pPr>
    </w:p>
    <w:p w14:paraId="2D90BEA7" w14:textId="726D95E6" w:rsidR="00BA486F" w:rsidRPr="00BA486F" w:rsidRDefault="00BA486F" w:rsidP="00BA486F">
      <w:pPr>
        <w:rPr>
          <w:sz w:val="24"/>
          <w:szCs w:val="24"/>
        </w:rPr>
      </w:pPr>
      <w:r w:rsidRPr="00BA486F">
        <w:rPr>
          <w:sz w:val="24"/>
          <w:szCs w:val="24"/>
        </w:rPr>
        <w:t>D. R. Steinsaltz, K. W. Wachter, Understanding mortality rate deceleration and heterogeneity. Mathematical Population Studies. 13, 19–37 (2006).</w:t>
      </w:r>
    </w:p>
    <w:p w14:paraId="24B43572" w14:textId="77777777" w:rsidR="00BA486F" w:rsidRDefault="00BA486F" w:rsidP="00BA486F">
      <w:pPr>
        <w:rPr>
          <w:sz w:val="24"/>
          <w:szCs w:val="24"/>
        </w:rPr>
      </w:pPr>
    </w:p>
    <w:p w14:paraId="24EEC936" w14:textId="6ED2B69A" w:rsidR="00BA486F" w:rsidRPr="00BA486F" w:rsidRDefault="00BA486F" w:rsidP="00BA486F">
      <w:pPr>
        <w:rPr>
          <w:sz w:val="24"/>
          <w:szCs w:val="24"/>
        </w:rPr>
      </w:pPr>
      <w:r w:rsidRPr="00BA486F">
        <w:rPr>
          <w:sz w:val="24"/>
          <w:szCs w:val="24"/>
        </w:rPr>
        <w:t>M. Finkelstein, V. Esaulova, Asymptotic behavior of a general class of mixture failure rates. Advances in Applied Probability. 38, 244–262 (2006).</w:t>
      </w:r>
    </w:p>
    <w:p w14:paraId="4CCD0DC5" w14:textId="77777777" w:rsidR="00BA486F" w:rsidRDefault="00BA486F" w:rsidP="00BA486F">
      <w:pPr>
        <w:rPr>
          <w:sz w:val="24"/>
          <w:szCs w:val="24"/>
        </w:rPr>
      </w:pPr>
    </w:p>
    <w:p w14:paraId="2891C979" w14:textId="6BA22768" w:rsidR="00BA486F" w:rsidRDefault="00BA486F" w:rsidP="00BA486F">
      <w:pPr>
        <w:rPr>
          <w:sz w:val="24"/>
          <w:szCs w:val="24"/>
        </w:rPr>
      </w:pPr>
      <w:r w:rsidRPr="00BA486F">
        <w:rPr>
          <w:sz w:val="24"/>
          <w:szCs w:val="24"/>
        </w:rPr>
        <w:t>C. C. Horvitz, S. Tuljapurkar, Stage dynamics, period survival, and mortality plateaus. The American Naturalist. 172, 203–215 (2008).</w:t>
      </w:r>
    </w:p>
    <w:p w14:paraId="46CEAF4D" w14:textId="0227F3D2" w:rsidR="00AA7132" w:rsidRDefault="00AA7132" w:rsidP="00BA486F">
      <w:pPr>
        <w:rPr>
          <w:sz w:val="24"/>
          <w:szCs w:val="24"/>
        </w:rPr>
      </w:pPr>
    </w:p>
    <w:p w14:paraId="51C16068" w14:textId="7D85736A" w:rsidR="00AA7132" w:rsidRDefault="00AA7132" w:rsidP="00BA486F">
      <w:pPr>
        <w:rPr>
          <w:sz w:val="24"/>
          <w:szCs w:val="24"/>
        </w:rPr>
      </w:pPr>
      <w:r w:rsidRPr="00AA7132">
        <w:rPr>
          <w:sz w:val="24"/>
          <w:szCs w:val="24"/>
        </w:rPr>
        <w:t>Perks, W. (1932). On some experiments in the graduation of mortality statistics. Journal of the Institute of Actuaries (1886-1994), 63(1), 12-57.</w:t>
      </w:r>
    </w:p>
    <w:p w14:paraId="03A9921D" w14:textId="1B570587" w:rsidR="000A0553" w:rsidRDefault="000A0553" w:rsidP="00BA486F">
      <w:pPr>
        <w:rPr>
          <w:sz w:val="24"/>
          <w:szCs w:val="24"/>
        </w:rPr>
      </w:pPr>
    </w:p>
    <w:p w14:paraId="747BDF36" w14:textId="0A978FB9" w:rsidR="000A0553" w:rsidRPr="002A58B7" w:rsidRDefault="000A0553" w:rsidP="00BA486F">
      <w:pPr>
        <w:rPr>
          <w:sz w:val="24"/>
          <w:szCs w:val="24"/>
        </w:rPr>
      </w:pPr>
      <w:r w:rsidRPr="000A0553">
        <w:rPr>
          <w:sz w:val="24"/>
          <w:szCs w:val="24"/>
        </w:rPr>
        <w:t>Horiuchi, S., &amp; Wilmoth, J. R. (1998). Deceleration in the age pattern of mortality at older</w:t>
      </w:r>
      <w:r w:rsidR="00105323">
        <w:rPr>
          <w:sz w:val="24"/>
          <w:szCs w:val="24"/>
        </w:rPr>
        <w:t xml:space="preserve"> </w:t>
      </w:r>
      <w:r w:rsidRPr="000A0553">
        <w:rPr>
          <w:sz w:val="24"/>
          <w:szCs w:val="24"/>
        </w:rPr>
        <w:t>ages. Demography, 35(4), 391-412.</w:t>
      </w:r>
    </w:p>
    <w:sectPr w:rsidR="000A0553" w:rsidRPr="002A58B7" w:rsidSect="003078D9">
      <w:headerReference w:type="even" r:id="rId15"/>
      <w:headerReference w:type="default" r:id="rId16"/>
      <w:footerReference w:type="first" r:id="rId17"/>
      <w:pgSz w:w="11907" w:h="16840" w:code="9"/>
      <w:pgMar w:top="1985" w:right="1361" w:bottom="1134" w:left="1361" w:header="851" w:footer="720" w:gutter="0"/>
      <w:cols w:space="720"/>
      <w:formProt w:val="0"/>
      <w:titlePg/>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0B0EF" w14:textId="77777777" w:rsidR="00C10029" w:rsidRDefault="00C10029">
      <w:r>
        <w:separator/>
      </w:r>
    </w:p>
  </w:endnote>
  <w:endnote w:type="continuationSeparator" w:id="0">
    <w:p w14:paraId="707A3D6D" w14:textId="77777777" w:rsidR="00C10029" w:rsidRDefault="00C10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1EE4C" w14:textId="6D6F447B" w:rsidR="009B7981" w:rsidRPr="009B7981" w:rsidRDefault="009B7981" w:rsidP="009B7981">
    <w:pPr>
      <w:pStyle w:val="Footer"/>
      <w:jc w:val="center"/>
      <w:rPr>
        <w:rFonts w:ascii="Times New Roman" w:hAnsi="Times New Roman" w:cs="Times New Roman"/>
        <w:sz w:val="20"/>
        <w:szCs w:val="20"/>
      </w:rPr>
    </w:pPr>
    <w:r w:rsidRPr="009B7981">
      <w:rPr>
        <w:rFonts w:ascii="Times New Roman" w:hAnsi="Times New Roman" w:cs="Times New Roman"/>
        <w:sz w:val="20"/>
        <w:szCs w:val="20"/>
      </w:rPr>
      <w:t>-</w:t>
    </w:r>
    <w:r>
      <w:rPr>
        <w:rFonts w:ascii="Times New Roman" w:hAnsi="Times New Roman" w:cs="Times New Roman"/>
        <w:sz w:val="20"/>
        <w:szCs w:val="20"/>
      </w:rPr>
      <w:t xml:space="preserve"> </w:t>
    </w:r>
    <w:sdt>
      <w:sdtPr>
        <w:rPr>
          <w:rFonts w:ascii="Times New Roman" w:hAnsi="Times New Roman" w:cs="Times New Roman"/>
          <w:sz w:val="20"/>
          <w:szCs w:val="20"/>
        </w:rPr>
        <w:id w:val="-952246616"/>
        <w:docPartObj>
          <w:docPartGallery w:val="Page Numbers (Bottom of Page)"/>
          <w:docPartUnique/>
        </w:docPartObj>
      </w:sdtPr>
      <w:sdtEndPr>
        <w:rPr>
          <w:noProof/>
        </w:rPr>
      </w:sdtEndPr>
      <w:sdtContent>
        <w:r w:rsidRPr="009B7981">
          <w:rPr>
            <w:rFonts w:ascii="Times New Roman" w:hAnsi="Times New Roman" w:cs="Times New Roman"/>
            <w:sz w:val="20"/>
            <w:szCs w:val="20"/>
          </w:rPr>
          <w:fldChar w:fldCharType="begin"/>
        </w:r>
        <w:r w:rsidRPr="009B7981">
          <w:rPr>
            <w:rFonts w:ascii="Times New Roman" w:hAnsi="Times New Roman" w:cs="Times New Roman"/>
            <w:sz w:val="20"/>
            <w:szCs w:val="20"/>
          </w:rPr>
          <w:instrText xml:space="preserve"> PAGE   \* MERGEFORMAT </w:instrText>
        </w:r>
        <w:r w:rsidRPr="009B7981">
          <w:rPr>
            <w:rFonts w:ascii="Times New Roman" w:hAnsi="Times New Roman" w:cs="Times New Roman"/>
            <w:sz w:val="20"/>
            <w:szCs w:val="20"/>
          </w:rPr>
          <w:fldChar w:fldCharType="separate"/>
        </w:r>
        <w:r w:rsidRPr="009B7981">
          <w:rPr>
            <w:rFonts w:ascii="Times New Roman" w:hAnsi="Times New Roman" w:cs="Times New Roman"/>
            <w:noProof/>
            <w:sz w:val="20"/>
            <w:szCs w:val="20"/>
          </w:rPr>
          <w:t>2</w:t>
        </w:r>
        <w:r w:rsidRPr="009B7981">
          <w:rPr>
            <w:rFonts w:ascii="Times New Roman" w:hAnsi="Times New Roman" w:cs="Times New Roman"/>
            <w:noProof/>
            <w:sz w:val="20"/>
            <w:szCs w:val="20"/>
          </w:rPr>
          <w:fldChar w:fldCharType="end"/>
        </w:r>
        <w:r>
          <w:rPr>
            <w:rFonts w:ascii="Times New Roman" w:hAnsi="Times New Roman" w:cs="Times New Roman"/>
            <w:noProof/>
            <w:sz w:val="20"/>
            <w:szCs w:val="20"/>
          </w:rPr>
          <w:t xml:space="preserve"> </w:t>
        </w:r>
        <w:r w:rsidRPr="009B7981">
          <w:rPr>
            <w:rFonts w:ascii="Times New Roman" w:hAnsi="Times New Roman" w:cs="Times New Roman"/>
            <w:noProof/>
            <w:sz w:val="20"/>
            <w:szCs w:val="20"/>
          </w:rPr>
          <w: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C384E" w14:textId="77777777" w:rsidR="00C10029" w:rsidRDefault="00C10029">
      <w:r>
        <w:separator/>
      </w:r>
    </w:p>
  </w:footnote>
  <w:footnote w:type="continuationSeparator" w:id="0">
    <w:p w14:paraId="0C106AC2" w14:textId="77777777" w:rsidR="00C10029" w:rsidRDefault="00C100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50822" w14:textId="1B05EC42" w:rsidR="00503E0F" w:rsidRDefault="003078D9" w:rsidP="003078D9">
    <w:pPr>
      <w:pStyle w:val="Header"/>
      <w:pBdr>
        <w:bottom w:val="single" w:sz="4" w:space="1" w:color="auto"/>
      </w:pBdr>
    </w:pPr>
    <w:r>
      <w:fldChar w:fldCharType="begin"/>
    </w:r>
    <w:r>
      <w:instrText xml:space="preserve"> PAGE   \* MERGEFORMAT </w:instrText>
    </w:r>
    <w:r>
      <w:fldChar w:fldCharType="separate"/>
    </w:r>
    <w:r>
      <w:rPr>
        <w:noProof/>
      </w:rPr>
      <w:t>1</w:t>
    </w:r>
    <w:r>
      <w:rPr>
        <w:noProof/>
      </w:rPr>
      <w:fldChar w:fldCharType="end"/>
    </w:r>
    <w:r>
      <w:rPr>
        <w:noProof/>
      </w:rPr>
      <w:tab/>
    </w:r>
    <w:r>
      <w:rPr>
        <w:noProof/>
      </w:rPr>
      <w:tab/>
      <w:t xml:space="preserve">Alvarez </w:t>
    </w:r>
    <w:r w:rsidRPr="003078D9">
      <w:rPr>
        <w:i/>
        <w:iCs/>
        <w:noProof/>
      </w:rPr>
      <w:t>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4FA0B" w14:textId="796B35CF" w:rsidR="003078D9" w:rsidRDefault="003078D9" w:rsidP="003078D9">
    <w:pPr>
      <w:pStyle w:val="Header"/>
      <w:pBdr>
        <w:bottom w:val="single" w:sz="4" w:space="1" w:color="auto"/>
      </w:pBdr>
    </w:pPr>
    <w:r>
      <w:rPr>
        <w:noProof/>
      </w:rPr>
      <w:t>Regularities in human mortality after age 105</w:t>
    </w:r>
    <w:r>
      <w:rPr>
        <w:noProof/>
      </w:rPr>
      <w:tab/>
    </w:r>
    <w:r>
      <w:rPr>
        <w:noProof/>
      </w:rPr>
      <w:tab/>
    </w:r>
    <w:r>
      <w:fldChar w:fldCharType="begin"/>
    </w:r>
    <w:r>
      <w:instrText xml:space="preserve"> PAGE   \* MERGEFORMAT </w:instrText>
    </w:r>
    <w:r>
      <w:fldChar w:fldCharType="separate"/>
    </w:r>
    <w:r>
      <w:t>3</w:t>
    </w:r>
    <w:r>
      <w:rPr>
        <w:noProof/>
      </w:rPr>
      <w:fldChar w:fldCharType="end"/>
    </w:r>
  </w:p>
  <w:p w14:paraId="637109ED" w14:textId="77777777" w:rsidR="003078D9" w:rsidRDefault="003078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B50B58"/>
    <w:multiLevelType w:val="hybridMultilevel"/>
    <w:tmpl w:val="9AEA9D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8DB4976"/>
    <w:multiLevelType w:val="hybridMultilevel"/>
    <w:tmpl w:val="6332D68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D0F"/>
    <w:rsid w:val="00005363"/>
    <w:rsid w:val="000732F6"/>
    <w:rsid w:val="000A0553"/>
    <w:rsid w:val="000D5457"/>
    <w:rsid w:val="000F1398"/>
    <w:rsid w:val="000F28C8"/>
    <w:rsid w:val="00105323"/>
    <w:rsid w:val="001C7BFE"/>
    <w:rsid w:val="00204066"/>
    <w:rsid w:val="00250508"/>
    <w:rsid w:val="00264E67"/>
    <w:rsid w:val="0027224B"/>
    <w:rsid w:val="002839D2"/>
    <w:rsid w:val="002A58B7"/>
    <w:rsid w:val="002E7F07"/>
    <w:rsid w:val="002F5456"/>
    <w:rsid w:val="003078D9"/>
    <w:rsid w:val="00352670"/>
    <w:rsid w:val="003B718F"/>
    <w:rsid w:val="003C5D0F"/>
    <w:rsid w:val="003D496D"/>
    <w:rsid w:val="00412802"/>
    <w:rsid w:val="004F32CC"/>
    <w:rsid w:val="00503E0F"/>
    <w:rsid w:val="00516FA7"/>
    <w:rsid w:val="00576AB2"/>
    <w:rsid w:val="005D69D0"/>
    <w:rsid w:val="005F40EC"/>
    <w:rsid w:val="00611761"/>
    <w:rsid w:val="006203DA"/>
    <w:rsid w:val="00644B39"/>
    <w:rsid w:val="006530A5"/>
    <w:rsid w:val="00653861"/>
    <w:rsid w:val="00686B08"/>
    <w:rsid w:val="00696DAE"/>
    <w:rsid w:val="007B2A63"/>
    <w:rsid w:val="00830150"/>
    <w:rsid w:val="00833F34"/>
    <w:rsid w:val="00866707"/>
    <w:rsid w:val="009B7981"/>
    <w:rsid w:val="00A03FA1"/>
    <w:rsid w:val="00A15C99"/>
    <w:rsid w:val="00A23376"/>
    <w:rsid w:val="00A448E1"/>
    <w:rsid w:val="00A85520"/>
    <w:rsid w:val="00AA33DE"/>
    <w:rsid w:val="00AA3641"/>
    <w:rsid w:val="00AA7132"/>
    <w:rsid w:val="00B667CF"/>
    <w:rsid w:val="00B73CB7"/>
    <w:rsid w:val="00B86245"/>
    <w:rsid w:val="00BA486F"/>
    <w:rsid w:val="00BD5B10"/>
    <w:rsid w:val="00BE3973"/>
    <w:rsid w:val="00C10029"/>
    <w:rsid w:val="00C43EEC"/>
    <w:rsid w:val="00C64D0E"/>
    <w:rsid w:val="00CD6CBF"/>
    <w:rsid w:val="00DA1CA8"/>
    <w:rsid w:val="00DA563A"/>
    <w:rsid w:val="00E36670"/>
    <w:rsid w:val="00E5775E"/>
    <w:rsid w:val="00E72642"/>
    <w:rsid w:val="00E877AF"/>
    <w:rsid w:val="00EB787C"/>
    <w:rsid w:val="00F25EEB"/>
    <w:rsid w:val="00F77375"/>
    <w:rsid w:val="00F811EB"/>
    <w:rsid w:val="00F94AA1"/>
    <w:rsid w:val="00FF7E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187C8AC"/>
  <w15:chartTrackingRefBased/>
  <w15:docId w15:val="{44551C10-1642-40D1-8FB7-99CFEC551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5D0F"/>
    <w:pPr>
      <w:spacing w:after="0" w:line="240" w:lineRule="auto"/>
    </w:pPr>
    <w:rPr>
      <w:rFonts w:ascii="Times New Roman" w:eastAsia="Calibri" w:hAnsi="Times New Roman" w:cs="Times New Roman"/>
      <w:sz w:val="20"/>
      <w:szCs w:val="20"/>
      <w:lang w:val="en-US"/>
    </w:rPr>
  </w:style>
  <w:style w:type="paragraph" w:styleId="Heading1">
    <w:name w:val="heading 1"/>
    <w:basedOn w:val="Normal"/>
    <w:next w:val="Normal"/>
    <w:link w:val="Heading1Char"/>
    <w:uiPriority w:val="9"/>
    <w:qFormat/>
    <w:rsid w:val="003078D9"/>
    <w:pPr>
      <w:keepNext/>
      <w:keepLines/>
      <w:spacing w:before="240"/>
      <w:outlineLvl w:val="0"/>
    </w:pPr>
    <w:rPr>
      <w:rFonts w:eastAsiaTheme="majorEastAsia" w:cstheme="majorBid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basedOn w:val="DefaultParagraphFont"/>
    <w:link w:val="Footer"/>
    <w:uiPriority w:val="99"/>
    <w:qFormat/>
    <w:rsid w:val="003C5D0F"/>
    <w:rPr>
      <w:rFonts w:eastAsia="Times New Roman"/>
    </w:rPr>
  </w:style>
  <w:style w:type="paragraph" w:customStyle="1" w:styleId="Legend">
    <w:name w:val="Legend"/>
    <w:basedOn w:val="Normal"/>
    <w:qFormat/>
    <w:rsid w:val="003C5D0F"/>
    <w:pPr>
      <w:keepNext/>
      <w:spacing w:before="240"/>
      <w:outlineLvl w:val="0"/>
    </w:pPr>
    <w:rPr>
      <w:rFonts w:eastAsia="Times New Roman"/>
      <w:kern w:val="2"/>
      <w:sz w:val="24"/>
      <w:szCs w:val="24"/>
    </w:rPr>
  </w:style>
  <w:style w:type="paragraph" w:styleId="Footer">
    <w:name w:val="footer"/>
    <w:basedOn w:val="Normal"/>
    <w:link w:val="FooterChar"/>
    <w:uiPriority w:val="99"/>
    <w:rsid w:val="003C5D0F"/>
    <w:pPr>
      <w:suppressLineNumbers/>
      <w:tabs>
        <w:tab w:val="center" w:pos="4320"/>
        <w:tab w:val="right" w:pos="8640"/>
      </w:tabs>
    </w:pPr>
    <w:rPr>
      <w:rFonts w:asciiTheme="minorHAnsi" w:eastAsia="Times New Roman" w:hAnsiTheme="minorHAnsi" w:cstheme="minorBidi"/>
      <w:sz w:val="22"/>
      <w:szCs w:val="22"/>
      <w:lang w:val="en-GB"/>
    </w:rPr>
  </w:style>
  <w:style w:type="character" w:customStyle="1" w:styleId="FooterChar1">
    <w:name w:val="Footer Char1"/>
    <w:basedOn w:val="DefaultParagraphFont"/>
    <w:uiPriority w:val="99"/>
    <w:semiHidden/>
    <w:rsid w:val="003C5D0F"/>
    <w:rPr>
      <w:rFonts w:ascii="Times New Roman" w:eastAsia="Calibri" w:hAnsi="Times New Roman" w:cs="Times New Roman"/>
      <w:sz w:val="20"/>
      <w:szCs w:val="20"/>
      <w:lang w:val="en-US"/>
    </w:rPr>
  </w:style>
  <w:style w:type="paragraph" w:customStyle="1" w:styleId="SMHeading">
    <w:name w:val="SM Heading"/>
    <w:basedOn w:val="Heading1"/>
    <w:qFormat/>
    <w:rsid w:val="003C5D0F"/>
    <w:pPr>
      <w:keepLines w:val="0"/>
      <w:spacing w:after="60"/>
    </w:pPr>
    <w:rPr>
      <w:rFonts w:eastAsia="Times New Roman" w:cs="Times New Roman"/>
      <w:b w:val="0"/>
      <w:bCs/>
      <w:kern w:val="32"/>
      <w:sz w:val="24"/>
      <w:szCs w:val="24"/>
    </w:rPr>
  </w:style>
  <w:style w:type="character" w:customStyle="1" w:styleId="Heading1Char">
    <w:name w:val="Heading 1 Char"/>
    <w:basedOn w:val="DefaultParagraphFont"/>
    <w:link w:val="Heading1"/>
    <w:uiPriority w:val="9"/>
    <w:rsid w:val="003078D9"/>
    <w:rPr>
      <w:rFonts w:ascii="Times New Roman" w:eastAsiaTheme="majorEastAsia" w:hAnsi="Times New Roman" w:cstheme="majorBidi"/>
      <w:b/>
      <w:sz w:val="32"/>
      <w:szCs w:val="32"/>
      <w:lang w:val="en-US"/>
    </w:rPr>
  </w:style>
  <w:style w:type="paragraph" w:styleId="BalloonText">
    <w:name w:val="Balloon Text"/>
    <w:basedOn w:val="Normal"/>
    <w:link w:val="BalloonTextChar"/>
    <w:uiPriority w:val="99"/>
    <w:semiHidden/>
    <w:unhideWhenUsed/>
    <w:rsid w:val="005F40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40EC"/>
    <w:rPr>
      <w:rFonts w:ascii="Segoe UI" w:eastAsia="Calibri" w:hAnsi="Segoe UI" w:cs="Segoe UI"/>
      <w:sz w:val="18"/>
      <w:szCs w:val="18"/>
      <w:lang w:val="en-US"/>
    </w:rPr>
  </w:style>
  <w:style w:type="paragraph" w:styleId="ListParagraph">
    <w:name w:val="List Paragraph"/>
    <w:basedOn w:val="Normal"/>
    <w:uiPriority w:val="34"/>
    <w:qFormat/>
    <w:rsid w:val="00833F34"/>
    <w:pPr>
      <w:ind w:left="720"/>
      <w:contextualSpacing/>
    </w:pPr>
  </w:style>
  <w:style w:type="character" w:styleId="Hyperlink">
    <w:name w:val="Hyperlink"/>
    <w:basedOn w:val="DefaultParagraphFont"/>
    <w:uiPriority w:val="99"/>
    <w:unhideWhenUsed/>
    <w:rsid w:val="00503E0F"/>
    <w:rPr>
      <w:color w:val="0563C1" w:themeColor="hyperlink"/>
      <w:u w:val="single"/>
    </w:rPr>
  </w:style>
  <w:style w:type="character" w:styleId="UnresolvedMention">
    <w:name w:val="Unresolved Mention"/>
    <w:basedOn w:val="DefaultParagraphFont"/>
    <w:uiPriority w:val="99"/>
    <w:semiHidden/>
    <w:unhideWhenUsed/>
    <w:rsid w:val="00503E0F"/>
    <w:rPr>
      <w:color w:val="605E5C"/>
      <w:shd w:val="clear" w:color="auto" w:fill="E1DFDD"/>
    </w:rPr>
  </w:style>
  <w:style w:type="paragraph" w:styleId="Header">
    <w:name w:val="header"/>
    <w:basedOn w:val="Normal"/>
    <w:link w:val="HeaderChar"/>
    <w:uiPriority w:val="99"/>
    <w:unhideWhenUsed/>
    <w:rsid w:val="00503E0F"/>
    <w:pPr>
      <w:tabs>
        <w:tab w:val="center" w:pos="4680"/>
        <w:tab w:val="right" w:pos="9360"/>
      </w:tabs>
    </w:pPr>
  </w:style>
  <w:style w:type="character" w:customStyle="1" w:styleId="HeaderChar">
    <w:name w:val="Header Char"/>
    <w:basedOn w:val="DefaultParagraphFont"/>
    <w:link w:val="Header"/>
    <w:uiPriority w:val="99"/>
    <w:rsid w:val="00503E0F"/>
    <w:rPr>
      <w:rFonts w:ascii="Times New Roman" w:eastAsia="Calibri" w:hAnsi="Times New Roman" w:cs="Times New Roman"/>
      <w:sz w:val="20"/>
      <w:szCs w:val="20"/>
      <w:lang w:val="en-US"/>
    </w:rPr>
  </w:style>
  <w:style w:type="character" w:styleId="CommentReference">
    <w:name w:val="annotation reference"/>
    <w:basedOn w:val="DefaultParagraphFont"/>
    <w:uiPriority w:val="99"/>
    <w:semiHidden/>
    <w:unhideWhenUsed/>
    <w:rsid w:val="00611761"/>
    <w:rPr>
      <w:sz w:val="16"/>
      <w:szCs w:val="16"/>
    </w:rPr>
  </w:style>
  <w:style w:type="paragraph" w:styleId="CommentText">
    <w:name w:val="annotation text"/>
    <w:basedOn w:val="Normal"/>
    <w:link w:val="CommentTextChar"/>
    <w:uiPriority w:val="99"/>
    <w:semiHidden/>
    <w:unhideWhenUsed/>
    <w:rsid w:val="00611761"/>
  </w:style>
  <w:style w:type="character" w:customStyle="1" w:styleId="CommentTextChar">
    <w:name w:val="Comment Text Char"/>
    <w:basedOn w:val="DefaultParagraphFont"/>
    <w:link w:val="CommentText"/>
    <w:uiPriority w:val="99"/>
    <w:semiHidden/>
    <w:rsid w:val="00611761"/>
    <w:rPr>
      <w:rFonts w:ascii="Times New Roman" w:eastAsia="Calibri"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611761"/>
    <w:rPr>
      <w:b/>
      <w:bCs/>
    </w:rPr>
  </w:style>
  <w:style w:type="character" w:customStyle="1" w:styleId="CommentSubjectChar">
    <w:name w:val="Comment Subject Char"/>
    <w:basedOn w:val="CommentTextChar"/>
    <w:link w:val="CommentSubject"/>
    <w:uiPriority w:val="99"/>
    <w:semiHidden/>
    <w:rsid w:val="00611761"/>
    <w:rPr>
      <w:rFonts w:ascii="Times New Roman" w:eastAsia="Calibri"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lvarez@sdu.dk"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sv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svg"/><Relationship Id="rId14"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6</Pages>
  <Words>666</Words>
  <Characters>3800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Jesús-Adrian Álvarez</dc:creator>
  <cp:keywords/>
  <dc:description/>
  <cp:lastModifiedBy>chn off29</cp:lastModifiedBy>
  <cp:revision>72</cp:revision>
  <dcterms:created xsi:type="dcterms:W3CDTF">2021-03-03T20:49:00Z</dcterms:created>
  <dcterms:modified xsi:type="dcterms:W3CDTF">2021-06-19T18:36:00Z</dcterms:modified>
</cp:coreProperties>
</file>