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5F61" w14:textId="6CABD60C" w:rsidR="00F632A1" w:rsidRDefault="00F632A1" w:rsidP="00576380">
      <w:pPr>
        <w:pStyle w:val="Heading3"/>
        <w:rPr>
          <w:b/>
        </w:rPr>
      </w:pPr>
      <w:bookmarkStart w:id="0" w:name="_Toc65856974"/>
      <w:bookmarkStart w:id="1" w:name="_Toc426366216"/>
      <w:r w:rsidRPr="005936EA">
        <w:rPr>
          <w:b/>
        </w:rPr>
        <w:t>S</w:t>
      </w:r>
      <w:r>
        <w:rPr>
          <w:b/>
        </w:rPr>
        <w:t xml:space="preserve">1 </w:t>
      </w:r>
      <w:r w:rsidR="00972246">
        <w:rPr>
          <w:b/>
        </w:rPr>
        <w:t xml:space="preserve">File. </w:t>
      </w:r>
      <w:proofErr w:type="gramStart"/>
      <w:r>
        <w:rPr>
          <w:b/>
        </w:rPr>
        <w:t>Material</w:t>
      </w:r>
      <w:proofErr w:type="gramEnd"/>
      <w:r>
        <w:rPr>
          <w:b/>
        </w:rPr>
        <w:t xml:space="preserve"> and methods complete version.</w:t>
      </w:r>
    </w:p>
    <w:p w14:paraId="480D86E4" w14:textId="59ABB4A1" w:rsidR="00FE0D33" w:rsidRPr="00FE0D33" w:rsidRDefault="00FE0D33" w:rsidP="00576380">
      <w:pPr>
        <w:pStyle w:val="Heading3"/>
      </w:pPr>
      <w:r w:rsidRPr="00FE0D33">
        <w:t>Design:</w:t>
      </w:r>
      <w:bookmarkEnd w:id="0"/>
    </w:p>
    <w:p w14:paraId="49FCB9B6" w14:textId="10422E28" w:rsidR="00FE0D33" w:rsidRPr="00FE0D33" w:rsidRDefault="00FE0D33" w:rsidP="00576380">
      <w:pPr>
        <w:spacing w:line="480" w:lineRule="auto"/>
        <w:rPr>
          <w:lang w:val="en-GB"/>
        </w:rPr>
      </w:pPr>
      <w:r w:rsidRPr="00FE0D33">
        <w:rPr>
          <w:lang w:val="en-GB"/>
        </w:rPr>
        <w:t xml:space="preserve">We performed a nationwide retrospective analysis of registered deaths in Ecuador of all neonates who died ≤28 days of life and were registered in 126 public and private health care facilities into the Surveillance System of Neonatal Mortality of the Public Health Ministry of Ecuador, from January 2014 to September 2017. We excluded from the analysis neonates who died in the prehospital setting, because of lack of information about the altitude of their health care attendance (see the diagram in </w:t>
      </w:r>
      <w:r w:rsidR="00576934">
        <w:rPr>
          <w:lang w:val="en-GB"/>
        </w:rPr>
        <w:t>S1 Fig.</w:t>
      </w:r>
      <w:r w:rsidRPr="00FE0D33">
        <w:rPr>
          <w:lang w:val="en-GB"/>
        </w:rPr>
        <w:t xml:space="preserve">). </w:t>
      </w:r>
    </w:p>
    <w:p w14:paraId="7F6D4FA2" w14:textId="77777777" w:rsidR="00FE0D33" w:rsidRPr="00FE0D33" w:rsidRDefault="00FE0D33" w:rsidP="00576380">
      <w:pPr>
        <w:pStyle w:val="Heading3"/>
      </w:pPr>
      <w:bookmarkStart w:id="2" w:name="_Toc65856975"/>
      <w:r w:rsidRPr="00FE0D33">
        <w:t>Population and database:</w:t>
      </w:r>
      <w:bookmarkEnd w:id="2"/>
    </w:p>
    <w:p w14:paraId="1F94F5DC" w14:textId="7ACBBFB8" w:rsidR="00FE0D33" w:rsidRPr="00FE0D33" w:rsidRDefault="00FE0D33" w:rsidP="00576380">
      <w:pPr>
        <w:spacing w:line="480" w:lineRule="auto"/>
        <w:rPr>
          <w:lang w:val="en-GB"/>
        </w:rPr>
      </w:pPr>
      <w:r w:rsidRPr="00FE0D33">
        <w:rPr>
          <w:lang w:val="en-GB"/>
        </w:rPr>
        <w:t xml:space="preserve">All registered neonatal deaths were included in this study. The epidemiologist in each health care facility systematically reports a form to this system, describing neonatal deaths up to 24 hours after they happened. Despite the database includes perinatal information from all registered deceased neonates –at-risk neonates–, it did not include information on maternal education and other contextual variables at the individual level.  </w:t>
      </w:r>
    </w:p>
    <w:p w14:paraId="30A8C414" w14:textId="77777777" w:rsidR="00FE0D33" w:rsidRPr="00FE0D33" w:rsidRDefault="00FE0D33" w:rsidP="00576380">
      <w:pPr>
        <w:pStyle w:val="Heading3"/>
      </w:pPr>
      <w:bookmarkStart w:id="3" w:name="_Toc65856976"/>
      <w:r w:rsidRPr="00FE0D33">
        <w:t>Main outcome:</w:t>
      </w:r>
      <w:bookmarkEnd w:id="3"/>
      <w:r w:rsidRPr="00FE0D33">
        <w:t xml:space="preserve"> </w:t>
      </w:r>
    </w:p>
    <w:p w14:paraId="5576EDDC" w14:textId="0614E312" w:rsidR="00FE0D33" w:rsidRDefault="00FE0D33" w:rsidP="00576380">
      <w:pPr>
        <w:spacing w:line="480" w:lineRule="auto"/>
        <w:rPr>
          <w:lang w:val="en-GB"/>
        </w:rPr>
      </w:pPr>
      <w:bookmarkStart w:id="4" w:name="_Hlk37566433"/>
      <w:r w:rsidRPr="00FE0D33">
        <w:rPr>
          <w:lang w:val="en-GB"/>
        </w:rPr>
        <w:t>We performed a survival analysis by setting the neonatal survival time, as measured by days, as the primary outcome. Then, we calculated hazard ratios (HR) using Cox’s proportional hazards models, and we compared the survival time across altitude strata</w:t>
      </w:r>
      <w:bookmarkEnd w:id="4"/>
      <w:r w:rsidRPr="00FE0D33">
        <w:rPr>
          <w:lang w:val="en-GB"/>
        </w:rPr>
        <w:t>.</w:t>
      </w:r>
      <w:r w:rsidRPr="00FE0D33">
        <w:rPr>
          <w:lang w:val="en-GB"/>
        </w:rPr>
        <w:fldChar w:fldCharType="begin" w:fldLock="1"/>
      </w:r>
      <w:r w:rsidR="007E6FB0">
        <w:rPr>
          <w:lang w:val="en-GB"/>
        </w:rPr>
        <w:instrText>ADDIN CSL_CITATION {"citationItems":[{"id":"ITEM-1","itemData":{"DOI":"10.1186/cc2955","ISSN":"13648535","abstract":"This review introduces methods of analyzing data arising from studies where the response variable is the length of time taken to reach a certain end-point, often death. The Kaplan-Meier methods, log rank test and Cox's proportional hazards model are described. © 2004 BioMed Central Ltd.","author":[{"dropping-particle":"","family":"Bewick","given":"Viv","non-dropping-particle":"","parse-names":false,"suffix":""},{"dropping-particle":"","family":"Cheek","given":"Liz","non-dropping-particle":"","parse-names":false,"suffix":""},{"dropping-particle":"","family":"Ball","given":"Jonathan","non-dropping-particle":"","parse-names":false,"suffix":""}],"container-title":"Critical Care","id":"ITEM-1","issue":"5","issued":{"date-parts":[["2004"]]},"page":"389-394","title":"Statistics review 12: Survival analysis","type":"article-journal","volume":"8"},"uris":["http://www.mendeley.com/documents/?uuid=f95003cf-fd96-4a89-ac6a-d24e7f8066c8"]}],"mendeley":{"formattedCitation":"[1]","plainTextFormattedCitation":"[1]","previouslyFormattedCitation":"[1]"},"properties":{"noteIndex":0},"schema":"https://github.com/citation-style-language/schema/raw/master/csl-citation.json"}</w:instrText>
      </w:r>
      <w:r w:rsidRPr="00FE0D33">
        <w:rPr>
          <w:lang w:val="en-GB"/>
        </w:rPr>
        <w:fldChar w:fldCharType="separate"/>
      </w:r>
      <w:r w:rsidR="00ED71E2" w:rsidRPr="00ED71E2">
        <w:rPr>
          <w:noProof/>
          <w:lang w:val="en-GB"/>
        </w:rPr>
        <w:t>[1]</w:t>
      </w:r>
      <w:r w:rsidRPr="00FE0D33">
        <w:rPr>
          <w:lang w:val="en-GB"/>
        </w:rPr>
        <w:fldChar w:fldCharType="end"/>
      </w:r>
      <w:r w:rsidRPr="00FE0D33">
        <w:rPr>
          <w:lang w:val="en-GB"/>
        </w:rPr>
        <w:t xml:space="preserve"> Despite information about non-deceased neonates being unavailable, the survival analysis gave us the probability of event occurrence (i.e., neonatal death) per each altitude stratum. </w:t>
      </w:r>
    </w:p>
    <w:p w14:paraId="0E5C59BA" w14:textId="77777777" w:rsidR="00FE0D33" w:rsidRPr="00A04030" w:rsidRDefault="00FE0D33" w:rsidP="00576380">
      <w:pPr>
        <w:pStyle w:val="Heading3"/>
      </w:pPr>
      <w:bookmarkStart w:id="5" w:name="_Toc65856977"/>
      <w:r w:rsidRPr="00A04030">
        <w:t>Process of building the database</w:t>
      </w:r>
      <w:bookmarkEnd w:id="5"/>
      <w:r w:rsidRPr="00A04030">
        <w:t xml:space="preserve"> </w:t>
      </w:r>
    </w:p>
    <w:p w14:paraId="07EAFF34" w14:textId="77777777" w:rsidR="00FE0D33" w:rsidRPr="00A04030" w:rsidRDefault="00FE0D33" w:rsidP="00576380">
      <w:pPr>
        <w:spacing w:line="480" w:lineRule="auto"/>
        <w:rPr>
          <w:lang w:val="en-GB"/>
        </w:rPr>
      </w:pPr>
      <w:r w:rsidRPr="00A04030">
        <w:rPr>
          <w:lang w:val="en-GB"/>
        </w:rPr>
        <w:t xml:space="preserve">The database is built based on the information collected from all hospitals in the Public Network of Health Establishments (made up of all public hospitals and its associates) and the Private Network of Health Establishments, including all Specialty Hospitals of </w:t>
      </w:r>
      <w:r w:rsidRPr="00A04030">
        <w:rPr>
          <w:lang w:val="en-GB"/>
        </w:rPr>
        <w:lastRenderedPageBreak/>
        <w:t xml:space="preserve">Gynaecology and Obstetrics, as well as any hospital that attends births. The database is built from systematic reports from the health establishments whenever there is a newborn death (≤28 days of life). The reports are sent in through a pre-established form by using a unique username and password for each establishment. This username is assigned by the system manager (DNVE). </w:t>
      </w:r>
    </w:p>
    <w:p w14:paraId="5D4D1E11" w14:textId="77777777" w:rsidR="00FE0D33" w:rsidRPr="00A04030" w:rsidRDefault="00FE0D33" w:rsidP="00576380">
      <w:pPr>
        <w:pStyle w:val="Heading3"/>
      </w:pPr>
      <w:bookmarkStart w:id="6" w:name="_Toc65856978"/>
      <w:r w:rsidRPr="00A04030">
        <w:t>Actors of the health system which are obligated to report neonatal deaths</w:t>
      </w:r>
      <w:bookmarkEnd w:id="6"/>
      <w:r w:rsidRPr="00A04030">
        <w:t xml:space="preserve"> </w:t>
      </w:r>
    </w:p>
    <w:p w14:paraId="72876A82" w14:textId="77777777" w:rsidR="00FE0D33" w:rsidRPr="00A04030" w:rsidRDefault="00FE0D33" w:rsidP="00576380">
      <w:pPr>
        <w:spacing w:line="480" w:lineRule="auto"/>
        <w:rPr>
          <w:lang w:val="en-GB"/>
        </w:rPr>
      </w:pPr>
      <w:r w:rsidRPr="00A04030">
        <w:rPr>
          <w:lang w:val="en-GB"/>
        </w:rPr>
        <w:t xml:space="preserve">All public and private health establishments in the country are obligated to report any neonatal death in the first 24 hours after the event. </w:t>
      </w:r>
    </w:p>
    <w:p w14:paraId="500DF27D" w14:textId="77777777" w:rsidR="00FE0D33" w:rsidRPr="00A04030" w:rsidRDefault="00FE0D33" w:rsidP="00576380">
      <w:pPr>
        <w:pStyle w:val="Heading3"/>
      </w:pPr>
      <w:bookmarkStart w:id="7" w:name="_Toc65856979"/>
      <w:r w:rsidRPr="00A04030">
        <w:t>Established criteria for reporting neonatal deaths</w:t>
      </w:r>
      <w:bookmarkEnd w:id="7"/>
    </w:p>
    <w:p w14:paraId="421C8997" w14:textId="77777777" w:rsidR="00FE0D33" w:rsidRPr="00A04030" w:rsidRDefault="00FE0D33" w:rsidP="00576380">
      <w:pPr>
        <w:spacing w:line="480" w:lineRule="auto"/>
        <w:rPr>
          <w:lang w:val="en-GB"/>
        </w:rPr>
      </w:pPr>
      <w:r w:rsidRPr="00A04030">
        <w:rPr>
          <w:lang w:val="en-GB"/>
        </w:rPr>
        <w:t xml:space="preserve">There are two pre-established forms and two ways to notify neonatal deaths in the system. The first one is a simplified report where all neonatal deaths are reported. The second one registers both the information from the simplified report and other additional information, including criteria that show preventability. This data includes some anonymized information from the mother. </w:t>
      </w:r>
    </w:p>
    <w:p w14:paraId="5BD73A13" w14:textId="77777777" w:rsidR="00FE0D33" w:rsidRPr="00A04030" w:rsidRDefault="00FE0D33" w:rsidP="00576380">
      <w:pPr>
        <w:pStyle w:val="Heading3"/>
      </w:pPr>
      <w:bookmarkStart w:id="8" w:name="_Toc65856980"/>
      <w:r w:rsidRPr="00A04030">
        <w:t>Verifying information</w:t>
      </w:r>
      <w:bookmarkEnd w:id="8"/>
      <w:r w:rsidRPr="00A04030">
        <w:t xml:space="preserve"> </w:t>
      </w:r>
    </w:p>
    <w:p w14:paraId="6ADBCB08" w14:textId="77777777" w:rsidR="00FE0D33" w:rsidRPr="00A04030" w:rsidRDefault="00FE0D33" w:rsidP="00576380">
      <w:pPr>
        <w:spacing w:line="480" w:lineRule="auto"/>
        <w:rPr>
          <w:lang w:val="en-GB"/>
        </w:rPr>
      </w:pPr>
      <w:r w:rsidRPr="00A04030">
        <w:rPr>
          <w:lang w:val="en-GB"/>
        </w:rPr>
        <w:t>There is an epidemiologist responsible for each political-administrative zone. This epidemiologist has a username and password that gives him/her access to all the information reported in the designated area. The epidemiologist is responsible for reviewing the information and detecting incongruences, by verifying with those who report it.</w:t>
      </w:r>
    </w:p>
    <w:p w14:paraId="4E8FEC69" w14:textId="77777777" w:rsidR="00FE0D33" w:rsidRPr="00A04030" w:rsidRDefault="00FE0D33" w:rsidP="00576380">
      <w:pPr>
        <w:pStyle w:val="Heading3"/>
      </w:pPr>
      <w:bookmarkStart w:id="9" w:name="_Toc65856981"/>
      <w:r w:rsidRPr="00A04030">
        <w:t>Main explanatory variable:</w:t>
      </w:r>
      <w:bookmarkEnd w:id="9"/>
    </w:p>
    <w:p w14:paraId="026D49AC" w14:textId="48EC9B38" w:rsidR="00FE0D33" w:rsidRDefault="00FE0D33" w:rsidP="00576380">
      <w:pPr>
        <w:spacing w:line="480" w:lineRule="auto"/>
        <w:rPr>
          <w:lang w:val="en-GB"/>
        </w:rPr>
      </w:pPr>
      <w:r w:rsidRPr="00A04030">
        <w:rPr>
          <w:lang w:val="en-GB"/>
        </w:rPr>
        <w:t xml:space="preserve">The altitude of the health care center in which neonates were attended was the main explanatory variable. Three independent researchers used information from the GeoSalud 3.6.0 web viewer </w:t>
      </w:r>
      <w:hyperlink r:id="rId8" w:history="1">
        <w:r w:rsidRPr="00A04030">
          <w:rPr>
            <w:lang w:val="en-GB"/>
          </w:rPr>
          <w:t>www.geosalud.com</w:t>
        </w:r>
      </w:hyperlink>
      <w:r w:rsidRPr="00A04030">
        <w:rPr>
          <w:lang w:val="en-GB"/>
        </w:rPr>
        <w:t xml:space="preserve"> and the computer program </w:t>
      </w:r>
      <w:hyperlink r:id="rId9" w:history="1">
        <w:r w:rsidRPr="00A04030">
          <w:rPr>
            <w:lang w:val="en-GB"/>
          </w:rPr>
          <w:t>www.googlearth.com</w:t>
        </w:r>
      </w:hyperlink>
      <w:r w:rsidRPr="00A04030">
        <w:rPr>
          <w:lang w:val="en-GB"/>
        </w:rPr>
        <w:t xml:space="preserve"> for verifying the altitude of each facility. To categorize the altitude, </w:t>
      </w:r>
      <w:r w:rsidRPr="00A04030">
        <w:rPr>
          <w:lang w:val="en-GB"/>
        </w:rPr>
        <w:lastRenderedPageBreak/>
        <w:t>we built a histogram to evaluate the possibility of dividing altitude categories by centiles; but, due to the irregular Ecuadorian geography, the particular distribution of neonatal deaths in each altitude interval made the categorization in tertiles or quartiles very difficult (Figure 2S); although a  continuous analysis of the altitude data could reduce unintended biases and it would be more useful for comparison of estimates with other studies, we decided to only keep a categorical analysis, due to the important overdispersion of the data (Figure 3S).</w:t>
      </w:r>
      <w:r w:rsidR="007E6FB0">
        <w:rPr>
          <w:lang w:val="en-GB"/>
        </w:rPr>
        <w:t xml:space="preserve"> </w:t>
      </w:r>
    </w:p>
    <w:p w14:paraId="328DF5DF" w14:textId="4244CD12" w:rsidR="007E6FB0" w:rsidRPr="00A04030" w:rsidRDefault="007E6FB0" w:rsidP="00576380">
      <w:pPr>
        <w:spacing w:line="480" w:lineRule="auto"/>
        <w:rPr>
          <w:lang w:val="en-GB"/>
        </w:rPr>
      </w:pPr>
      <w:bookmarkStart w:id="10" w:name="_Hlk72245389"/>
      <w:r>
        <w:rPr>
          <w:lang w:val="en-GB"/>
        </w:rPr>
        <w:t xml:space="preserve">In order to perform a proper categorization of the altitude we considered several geographic factors. </w:t>
      </w:r>
      <w:r w:rsidRPr="007E6FB0">
        <w:rPr>
          <w:lang w:val="en-GB"/>
        </w:rPr>
        <w:t xml:space="preserve">Ecuador has four regions, each with different altitude and specific distribution of the population. The coast region and </w:t>
      </w:r>
      <w:r w:rsidR="001F3495">
        <w:rPr>
          <w:lang w:val="en-GB"/>
        </w:rPr>
        <w:t xml:space="preserve">the </w:t>
      </w:r>
      <w:r w:rsidRPr="007E6FB0">
        <w:rPr>
          <w:lang w:val="en-GB"/>
        </w:rPr>
        <w:t>Galapagos Islands region are located at an altitude that varies among 0–500 m. The highlands include the Andean mountains</w:t>
      </w:r>
      <w:r w:rsidR="00C65A0A">
        <w:rPr>
          <w:lang w:val="en-GB"/>
        </w:rPr>
        <w:t>, located at</w:t>
      </w:r>
      <w:r w:rsidRPr="007E6FB0">
        <w:rPr>
          <w:lang w:val="en-GB"/>
        </w:rPr>
        <w:t xml:space="preserve"> beyond 1501 m. The Amazon region is located between 501–1500 m</w:t>
      </w:r>
      <w:r>
        <w:rPr>
          <w:lang w:val="en-GB"/>
        </w:rPr>
        <w:t xml:space="preserve"> </w:t>
      </w:r>
      <w:r>
        <w:rPr>
          <w:lang w:val="en-GB"/>
        </w:rPr>
        <w:fldChar w:fldCharType="begin" w:fldLock="1"/>
      </w:r>
      <w:r>
        <w:rPr>
          <w:lang w:val="en-GB"/>
        </w:rPr>
        <w:instrText>ADDIN CSL_CITATION {"citationItems":[{"id":"ITEM-1","itemData":{"DOI":"10.1007/s40618-020-01267-9","ISBN":"0123456789","ISSN":"17208386","PMID":"32430865","abstract":"Background: Obesity and metabolic syndrome (MetS) are key risk factors for type 2 diabetes and cardiovascular disease. Little information exists on the prevalence of obesity and MetS in Latin America and specifically in Ecuador. We aimed to estimate the prevalence of overweight, obesity, and MetS among adults in Ecuador. Methods: We analyzed data from a nation-wide population-based survey in Ecuador (ENSANUT-ECU) among 10,318 participants (3684 men, 6634 women; age range: 18–59 years) conducted in 2012. Data related to residential location (urban versus rural), altitude (&lt; 500, 500–1500 or &gt; 1500 m above sea level (MASL)), region (highland, coast, amazon, or Galápagos), and socioeconomic status were collected. BMI, waist circumference, blood lipids, glucose, and blood pressure were measured by trained fieldworkers following standardized procedures. Results: The age-standardized prevalence of overweight was 39.5%; 22.3% was obese; and 31.2% had MetS. The prevalence of obesity, low HDL-cholesterol, and abdominal obesity were higher in women than in men, whereas men had a higher prevalence of hypertension (p &lt; 0.05). Sex differences were not observed regarding the prevalence of combined MetS. Prevalence of both obesity and MetS was higher in urban areas, at low altitude regions (coast and Galapagos), and at high socioeconomic status (all p &lt; 0.05). Conclusions: Prevalence of obesity and MetS in Ecuador are high. There are important demographic differences in the prevalence of MetS between Ecuadorian subpopulations that requires targeted research and prevention efforts, to hold and reduce the current public health problem of metabolic disorders.","author":[{"dropping-particle":"","family":"Pérez-Galarza","given":"J.","non-dropping-particle":"","parse-names":false,"suffix":""},{"dropping-particle":"","family":"Baldeón","given":"L.","non-dropping-particle":"","parse-names":false,"suffix":""},{"dropping-particle":"","family":"Franco","given":"O. H.","non-dropping-particle":"","parse-names":false,"suffix":""},{"dropping-particle":"","family":"Muka","given":"T.","non-dropping-particle":"","parse-names":false,"suffix":""},{"dropping-particle":"","family":"Drexhage","given":"H. A.","non-dropping-particle":"","parse-names":false,"suffix":""},{"dropping-particle":"","family":"Voortman","given":"T.","non-dropping-particle":"","parse-names":false,"suffix":""},{"dropping-particle":"","family":"Freire","given":"W. B.","non-dropping-particle":"","parse-names":false,"suffix":""}],"container-title":"Journal of Endocrinological Investigation","id":"ITEM-1","issue":"1","issued":{"date-parts":[["2021"]]},"page":"63-74","publisher":"Springer International Publishing","title":"Prevalence of overweight and metabolic syndrome, and associated sociodemographic factors among adult Ecuadorian populations: the ENSANUT-ECU study","type":"article-journal","volume":"44"},"uris":["http://www.mendeley.com/documents/?uuid=f4b81044-781c-4cd0-90cd-96eb8cd07014"]}],"mendeley":{"formattedCitation":"[2]","plainTextFormattedCitation":"[2]","previouslyFormattedCitation":"[2]"},"properties":{"noteIndex":0},"schema":"https://github.com/citation-style-language/schema/raw/master/csl-citation.json"}</w:instrText>
      </w:r>
      <w:r>
        <w:rPr>
          <w:lang w:val="en-GB"/>
        </w:rPr>
        <w:fldChar w:fldCharType="separate"/>
      </w:r>
      <w:r w:rsidRPr="007E6FB0">
        <w:rPr>
          <w:noProof/>
          <w:lang w:val="en-GB"/>
        </w:rPr>
        <w:t>[2]</w:t>
      </w:r>
      <w:r>
        <w:rPr>
          <w:lang w:val="en-GB"/>
        </w:rPr>
        <w:fldChar w:fldCharType="end"/>
      </w:r>
      <w:r w:rsidRPr="007E6FB0">
        <w:rPr>
          <w:lang w:val="en-GB"/>
        </w:rPr>
        <w:t>. The diversity of climates and altitude levels, the political division of the country, and the limited access to basic services, determine a particular configuration of the population´s density. Consequently, regarding the</w:t>
      </w:r>
      <w:r w:rsidR="00C65A0A">
        <w:rPr>
          <w:lang w:val="en-GB"/>
        </w:rPr>
        <w:t xml:space="preserve"> evaluated</w:t>
      </w:r>
      <w:r w:rsidRPr="007E6FB0">
        <w:rPr>
          <w:lang w:val="en-GB"/>
        </w:rPr>
        <w:t xml:space="preserve"> health outcome, distinct studies establish</w:t>
      </w:r>
      <w:r w:rsidR="00C65A0A">
        <w:rPr>
          <w:lang w:val="en-GB"/>
        </w:rPr>
        <w:t>ed</w:t>
      </w:r>
      <w:r w:rsidRPr="007E6FB0">
        <w:rPr>
          <w:lang w:val="en-GB"/>
        </w:rPr>
        <w:t xml:space="preserve"> different altitude clusters. For example, a study of the prevalence of metabolic syndrome in Ecuador, used the above-mentioned categories </w:t>
      </w:r>
      <w:r>
        <w:rPr>
          <w:lang w:val="en-GB"/>
        </w:rPr>
        <w:fldChar w:fldCharType="begin" w:fldLock="1"/>
      </w:r>
      <w:r>
        <w:rPr>
          <w:lang w:val="en-GB"/>
        </w:rPr>
        <w:instrText>ADDIN CSL_CITATION {"citationItems":[{"id":"ITEM-1","itemData":{"DOI":"10.1007/s40618-020-01267-9","ISBN":"0123456789","ISSN":"17208386","PMID":"32430865","abstract":"Background: Obesity and metabolic syndrome (MetS) are key risk factors for type 2 diabetes and cardiovascular disease. Little information exists on the prevalence of obesity and MetS in Latin America and specifically in Ecuador. We aimed to estimate the prevalence of overweight, obesity, and MetS among adults in Ecuador. Methods: We analyzed data from a nation-wide population-based survey in Ecuador (ENSANUT-ECU) among 10,318 participants (3684 men, 6634 women; age range: 18–59 years) conducted in 2012. Data related to residential location (urban versus rural), altitude (&lt; 500, 500–1500 or &gt; 1500 m above sea level (MASL)), region (highland, coast, amazon, or Galápagos), and socioeconomic status were collected. BMI, waist circumference, blood lipids, glucose, and blood pressure were measured by trained fieldworkers following standardized procedures. Results: The age-standardized prevalence of overweight was 39.5%; 22.3% was obese; and 31.2% had MetS. The prevalence of obesity, low HDL-cholesterol, and abdominal obesity were higher in women than in men, whereas men had a higher prevalence of hypertension (p &lt; 0.05). Sex differences were not observed regarding the prevalence of combined MetS. Prevalence of both obesity and MetS was higher in urban areas, at low altitude regions (coast and Galapagos), and at high socioeconomic status (all p &lt; 0.05). Conclusions: Prevalence of obesity and MetS in Ecuador are high. There are important demographic differences in the prevalence of MetS between Ecuadorian subpopulations that requires targeted research and prevention efforts, to hold and reduce the current public health problem of metabolic disorders.","author":[{"dropping-particle":"","family":"Pérez-Galarza","given":"J.","non-dropping-particle":"","parse-names":false,"suffix":""},{"dropping-particle":"","family":"Baldeón","given":"L.","non-dropping-particle":"","parse-names":false,"suffix":""},{"dropping-particle":"","family":"Franco","given":"O. H.","non-dropping-particle":"","parse-names":false,"suffix":""},{"dropping-particle":"","family":"Muka","given":"T.","non-dropping-particle":"","parse-names":false,"suffix":""},{"dropping-particle":"","family":"Drexhage","given":"H. A.","non-dropping-particle":"","parse-names":false,"suffix":""},{"dropping-particle":"","family":"Voortman","given":"T.","non-dropping-particle":"","parse-names":false,"suffix":""},{"dropping-particle":"","family":"Freire","given":"W. B.","non-dropping-particle":"","parse-names":false,"suffix":""}],"container-title":"Journal of Endocrinological Investigation","id":"ITEM-1","issue":"1","issued":{"date-parts":[["2021"]]},"page":"63-74","publisher":"Springer International Publishing","title":"Prevalence of overweight and metabolic syndrome, and associated sociodemographic factors among adult Ecuadorian populations: the ENSANUT-ECU study","type":"article-journal","volume":"44"},"uris":["http://www.mendeley.com/documents/?uuid=f4b81044-781c-4cd0-90cd-96eb8cd07014"]}],"mendeley":{"formattedCitation":"[2]","plainTextFormattedCitation":"[2]","previouslyFormattedCitation":"[2]"},"properties":{"noteIndex":0},"schema":"https://github.com/citation-style-language/schema/raw/master/csl-citation.json"}</w:instrText>
      </w:r>
      <w:r>
        <w:rPr>
          <w:lang w:val="en-GB"/>
        </w:rPr>
        <w:fldChar w:fldCharType="separate"/>
      </w:r>
      <w:r w:rsidRPr="007E6FB0">
        <w:rPr>
          <w:noProof/>
          <w:lang w:val="en-GB"/>
        </w:rPr>
        <w:t>[2]</w:t>
      </w:r>
      <w:r>
        <w:rPr>
          <w:lang w:val="en-GB"/>
        </w:rPr>
        <w:fldChar w:fldCharType="end"/>
      </w:r>
      <w:r w:rsidRPr="007E6FB0">
        <w:rPr>
          <w:lang w:val="en-GB"/>
        </w:rPr>
        <w:t xml:space="preserve">. </w:t>
      </w:r>
      <w:r w:rsidR="00C65A0A">
        <w:rPr>
          <w:lang w:val="en-GB"/>
        </w:rPr>
        <w:t>Contrary</w:t>
      </w:r>
      <w:r w:rsidRPr="007E6FB0">
        <w:rPr>
          <w:lang w:val="en-GB"/>
        </w:rPr>
        <w:t xml:space="preserve">, a study about congenital heart disease in Ecuador, determined three altitude clusters according to CHD prevalence: 2500 to 2750 m; 2751 to 3000 m; and 3001 and 3264 m </w:t>
      </w:r>
      <w:r>
        <w:rPr>
          <w:lang w:val="en-GB"/>
        </w:rPr>
        <w:fldChar w:fldCharType="begin" w:fldLock="1"/>
      </w:r>
      <w:r>
        <w:rPr>
          <w:lang w:val="en-GB"/>
        </w:rPr>
        <w:instrText xml:space="preserve">ADDIN CSL_CITATION {"citationItems":[{"id":"ITEM-1","itemData":{"DOI":"10.1089/ham.2019.0110","ISSN":"15578682","PMID":"31976751","abstract":"Background: There are </w:instrText>
      </w:r>
      <w:r>
        <w:rPr>
          <w:rFonts w:ascii="Cambria Math" w:hAnsi="Cambria Math" w:cs="Cambria Math"/>
          <w:lang w:val="en-GB"/>
        </w:rPr>
        <w:instrText>∼</w:instrText>
      </w:r>
      <w:r>
        <w:rPr>
          <w:lang w:val="en-GB"/>
        </w:rPr>
        <w:instrText>83 million people living at high altitude (&gt;2500 m) worldwide who endure chronic hypoxia conditions. This article aims to analyze the relationship between high altitude, identified in several cities in Ecuador, and the prevalence of congenital heart disease (CHD). Methods: Set in Ecuador, this epidemiological observational cross-sectional study analyzes data over a range of 18 years (from 2000 to 2017), including 34,904 reported cases of CHD, with a mean of 1939 cases per year. Results: The mean prevalence rate of CHD found is 70.6 per 10,000 live newborns. A K-means analysis resulted in three clusters. Cluster 1 shows the lowest altitude and prevalence of CHD, with an average of 2619 m and 63.02 cases per 10,000 live newborns. Cluster 2 presents the second highest altitude and prevalence of CHD, with an average of 2909 m and 72.04 cases per 10,000 live newborns. Cluster 3 shows the highest values of altitude and prevalence of CHD, with an average of 3176 m and 86.62 cases per 10,000 live newborns. Pearson's coefficient is 0.979, so the correlation between the variables is positive. An altitude ranging from 2500 to 2750 m relates to a prevalence of CHD of ≤71 cases per 10,000 live newborns. An altitude ranging from 2751 to 3000 m relates to a prevalence of CHD of &gt;71 and &lt;89 cases per 10,000 live newborns. An altitude ranging between 3001 and 3264 m relates to a prevalence of CHD of ≥89 cases per 10,000 live newborns. Conclusions: The findings show that high altitude (&gt;2500 m), ethnicity (Native American), rural locations, and limited access to health care are factors that influence and increase the prevalence rate of CHD. A correlation coefficient of 0.914 shows the direct relationship between high altitude and prevalence rates of CHD. For each year elapsed, the prevalence of CHD increased by 3.33 cases per 10,000 live newborns.","author":[{"dropping-particle":"","family":"González-Andrade","given":"Fabricio","non-dropping-particle":"","parse-names":false,"suffix":""}],"container-title":"High Altitude Medicine and Biology","id":"ITEM-1","issue":"2","issued":{"date-parts":[["2020"]]},"page":"126-134","title":"High Altitude as a Cause of Congenital Heart Defects: A Medical Hypothesis Rediscovered in Ecuador","type":"article-journal","volume":"21"},"uris":["http://www.mendeley.com/documents/?uuid=0c35b247-398b-4393-9c5e-186da792a63b"]}],"mendeley":{"formattedCitation":"[3]","plainTextFormattedCitation":"[3]"},"properties":{"noteIndex":0},"schema":"https://github.com/citation-style-language/schema/raw/master/csl-citation.json"}</w:instrText>
      </w:r>
      <w:r>
        <w:rPr>
          <w:lang w:val="en-GB"/>
        </w:rPr>
        <w:fldChar w:fldCharType="separate"/>
      </w:r>
      <w:r w:rsidRPr="007E6FB0">
        <w:rPr>
          <w:noProof/>
          <w:lang w:val="en-GB"/>
        </w:rPr>
        <w:t>[3]</w:t>
      </w:r>
      <w:r>
        <w:rPr>
          <w:lang w:val="en-GB"/>
        </w:rPr>
        <w:fldChar w:fldCharType="end"/>
      </w:r>
      <w:r w:rsidRPr="007E6FB0">
        <w:rPr>
          <w:lang w:val="en-GB"/>
        </w:rPr>
        <w:t>. The last one</w:t>
      </w:r>
      <w:r w:rsidR="00C65A0A">
        <w:rPr>
          <w:lang w:val="en-GB"/>
        </w:rPr>
        <w:t>s</w:t>
      </w:r>
      <w:r w:rsidRPr="007E6FB0">
        <w:rPr>
          <w:lang w:val="en-GB"/>
        </w:rPr>
        <w:t xml:space="preserve"> </w:t>
      </w:r>
      <w:r w:rsidR="00C65A0A">
        <w:rPr>
          <w:lang w:val="en-GB"/>
        </w:rPr>
        <w:t xml:space="preserve">are </w:t>
      </w:r>
      <w:proofErr w:type="gramStart"/>
      <w:r w:rsidR="00C65A0A">
        <w:rPr>
          <w:lang w:val="en-GB"/>
        </w:rPr>
        <w:t>similar to</w:t>
      </w:r>
      <w:proofErr w:type="gramEnd"/>
      <w:r w:rsidR="00C65A0A">
        <w:rPr>
          <w:lang w:val="en-GB"/>
        </w:rPr>
        <w:t xml:space="preserve"> our</w:t>
      </w:r>
      <w:r w:rsidRPr="007E6FB0">
        <w:rPr>
          <w:lang w:val="en-GB"/>
        </w:rPr>
        <w:t xml:space="preserve"> altitude clusters, but noticeably they do not include low altitude clusters since the prevalence of CHD is not significant in th</w:t>
      </w:r>
      <w:r w:rsidR="00C65A0A">
        <w:rPr>
          <w:lang w:val="en-GB"/>
        </w:rPr>
        <w:t>ose</w:t>
      </w:r>
      <w:r w:rsidRPr="007E6FB0">
        <w:rPr>
          <w:lang w:val="en-GB"/>
        </w:rPr>
        <w:t xml:space="preserve"> regions. Thus, the patterns of altitude categorization </w:t>
      </w:r>
      <w:r w:rsidR="00C65A0A">
        <w:rPr>
          <w:lang w:val="en-GB"/>
        </w:rPr>
        <w:t xml:space="preserve">that </w:t>
      </w:r>
      <w:r w:rsidRPr="007E6FB0">
        <w:rPr>
          <w:lang w:val="en-GB"/>
        </w:rPr>
        <w:t xml:space="preserve">we used, are according to our research objective. </w:t>
      </w:r>
      <w:bookmarkEnd w:id="10"/>
    </w:p>
    <w:p w14:paraId="35AFF093" w14:textId="77777777" w:rsidR="00FE0D33" w:rsidRPr="00A04030" w:rsidRDefault="00FE0D33" w:rsidP="00576380">
      <w:pPr>
        <w:pStyle w:val="Heading3"/>
      </w:pPr>
      <w:bookmarkStart w:id="11" w:name="_Toc65856982"/>
      <w:r w:rsidRPr="00A04030">
        <w:t>Other covariates</w:t>
      </w:r>
      <w:bookmarkEnd w:id="11"/>
    </w:p>
    <w:p w14:paraId="39AD0DDF" w14:textId="1EF29A29" w:rsidR="00FE0D33" w:rsidRPr="00A04030" w:rsidRDefault="00FE0D33" w:rsidP="00576380">
      <w:pPr>
        <w:spacing w:line="480" w:lineRule="auto"/>
        <w:rPr>
          <w:lang w:val="en-GB"/>
        </w:rPr>
      </w:pPr>
      <w:r w:rsidRPr="00A04030">
        <w:rPr>
          <w:lang w:val="en-GB"/>
        </w:rPr>
        <w:t xml:space="preserve">Given that there are several potential confounders in the association between altitude and neonatal survival time, variables were divided into two types: </w:t>
      </w:r>
      <w:r w:rsidR="00537A0E" w:rsidRPr="00537A0E">
        <w:rPr>
          <w:i/>
          <w:iCs/>
          <w:lang w:val="en-GB"/>
        </w:rPr>
        <w:t>(i)</w:t>
      </w:r>
      <w:r w:rsidRPr="00A04030">
        <w:rPr>
          <w:lang w:val="en-GB"/>
        </w:rPr>
        <w:t xml:space="preserve"> individual covariates: </w:t>
      </w:r>
      <w:r w:rsidRPr="00A04030">
        <w:rPr>
          <w:lang w:val="en-GB"/>
        </w:rPr>
        <w:lastRenderedPageBreak/>
        <w:t>birth weight, gestational age at birth, small for gestational age –neonates whose birth weight was less than the 10th percentile for gestational age–,</w:t>
      </w:r>
      <w:r w:rsidRPr="00A04030">
        <w:rPr>
          <w:lang w:val="en-GB"/>
        </w:rPr>
        <w:fldChar w:fldCharType="begin" w:fldLock="1"/>
      </w:r>
      <w:r w:rsidR="007E6FB0">
        <w:rPr>
          <w:lang w:val="en-GB"/>
        </w:rPr>
        <w:instrText>ADDIN CSL_CITATION {"citationItems":[{"id":"ITEM-1","itemData":{"ISSN":"1873233X","abstract":"Fetal growth restriction, also known as intrauterine growth restriction, is a common complication of pregnancy that has been associated with a variety of adverse perinatal outcomes. There is a lack of consensus regarding terminology, etiology, and diagnostic criteria for fetal growth restriction, with uncertainty surrounding the optimal management and timing of delivery for the growth-restricted fetus. An additional challenge is the difficulty in differentiating between the fetus that is constitutionally small and fulfilling its growth potential and the small fetus that is not fulfilling its growth potential because of an underlying pathologic condition. The purpose of this document is to review the topic of fetal growth restriction with a focus on terminology, etiology, diagnostic and surveillance tools, and guidance for management and timing of delivery.","author":[{"dropping-particle":"","family":"American College of Obstetricians","given":"","non-dropping-particle":"","parse-names":false,"suffix":""}],"container-title":"Obstetrics and gynecology","id":"ITEM-1","issue":"5","issued":{"date-parts":[["2013"]]},"page":"1122-1133","title":"ACOG Practice bulletin no. 134: fetal growth restriction.","type":"article-journal","volume":"121"},"uris":["http://www.mendeley.com/documents/?uuid=4d4d08cb-7c17-4fc4-a167-08655fff545a"]}],"mendeley":{"formattedCitation":"[4]","plainTextFormattedCitation":"[4]","previouslyFormattedCitation":"[3]"},"properties":{"noteIndex":0},"schema":"https://github.com/citation-style-language/schema/raw/master/csl-citation.json"}</w:instrText>
      </w:r>
      <w:r w:rsidRPr="00A04030">
        <w:rPr>
          <w:lang w:val="en-GB"/>
        </w:rPr>
        <w:fldChar w:fldCharType="separate"/>
      </w:r>
      <w:r w:rsidR="007E6FB0" w:rsidRPr="007E6FB0">
        <w:rPr>
          <w:noProof/>
          <w:lang w:val="en-GB"/>
        </w:rPr>
        <w:t>[4]</w:t>
      </w:r>
      <w:r w:rsidRPr="00A04030">
        <w:rPr>
          <w:lang w:val="en-GB"/>
        </w:rPr>
        <w:fldChar w:fldCharType="end"/>
      </w:r>
      <w:r w:rsidRPr="00A04030">
        <w:rPr>
          <w:lang w:val="en-GB"/>
        </w:rPr>
        <w:t xml:space="preserve"> using the Intergrowth equations,</w:t>
      </w:r>
      <w:r w:rsidRPr="00A04030">
        <w:rPr>
          <w:lang w:val="en-GB"/>
        </w:rPr>
        <w:fldChar w:fldCharType="begin" w:fldLock="1"/>
      </w:r>
      <w:r w:rsidR="007E6FB0">
        <w:rPr>
          <w:lang w:val="en-GB"/>
        </w:rPr>
        <w:instrText>ADDIN CSL_CITATION {"citationItems":[{"id":"ITEM-1","itemData":{"DOI":"10.1016/s2214-109x(15)00163-1","ISBN":"2214-109x","PMID":"26475015","abstract":"BACKGROUND: Charts of size at birth are used to assess the postnatal growth of preterm babies on the assumption that extrauterine growth should mimic that in the uterus. METHODS: The INTERGROWTH-21(st) Project assessed fetal, newborn, and postnatal growth in eight geographically defined populations, in which maternal health care and nutritional needs were met. From these populations, the Fetal Growth Longitudinal Study selected low-risk women starting antenatal care before 14 weeks' gestation and monitored fetal growth by ultrasonography. All preterm births from this cohort were eligible for the Preterm Postnatal Follow-up Study, which included standardised anthropometric measurements, feeding practices based on breastfeeding, and data on morbidity, treatments, and development. To construct the preterm postnatal growth standards, we selected all live singletons born between 26 and before 37 weeks' gestation without congenital malformations, fetal growth restriction, or severe postnatal morbidity. We did analyses with second-degree fractional polynomial regression models in a multilevel framework accounting for repeated measures. Fetal and neonatal data were pooled from study sites and stratified by postmenstrual age. For neonates, boys and girls were assessed separately. FINDINGS: From 4607 women enrolled in the study, there were 224 preterm singleton births, of which 201 (90%) were enrolled in the Preterm Postnatal Follow-up Study. Variance component analysis showed that only 0.2% and 4.0% of the total variability in postnatal length and head circumference, respectively, could be attributed to between-site differences, justifying pooling the data from all study sites. Preterm growth patterns differed from those for babies in the INTERGROWTH-21(st) Newborn Size Standards. They overlapped with the WHO Child Growth Standards for term babies by 64 weeks' postmenstrual age. INTERPRETATION: Our data have yielded standards for postnatal growth in preterm infants. These standards should be used for the assessment of preterm infants until 64 weeks' postmenstrual age, after which the WHO Child Growth Standards are appropriate. Size-at-birth charts should not be used to measure postnatal growth of preterm infants. FUNDING: Bill &amp; Melinda Gates Foundation.","author":[{"dropping-particle":"","family":"Villar","given":"J","non-dropping-particle":"","parse-names":false,"suffix":""},{"dropping-particle":"","family":"Giuliani","given":"F","non-dropping-particle":"","parse-names":false,"suffix":""},{"dropping-particle":"","family":"Bhutta","given":"Z A","non-dropping-particle":"","parse-names":false,"suffix":""},{"dropping-particle":"","family":"Bertino","given":"E","non-dropping-particle":"","parse-names":false,"suffix":""},{"dropping-particle":"","family":"Ohuma","given":"E O","non-dropping-particle":"","parse-names":false,"suffix":""},{"dropping-particle":"","family":"Ismail","given":"L C","non-dropping-particle":"","parse-names":false,"suffix":""},{"dropping-particle":"","family":"Barros","given":"F C","non-dropping-particle":"","parse-names":false,"suffix":""},{"dropping-particle":"","family":"Altman","given":"D G","non-dropping-particle":"","parse-names":false,"suffix":""},{"dropping-particle":"","family":"Victora","given":"C","non-dropping-particle":"","parse-names":false,"suffix":""},{"dropping-particle":"","family":"Noble","given":"J A","non-dropping-particle":"","parse-names":false,"suffix":""},{"dropping-particle":"","family":"Gravett","given":"M G","non-dropping-particle":"","parse-names":false,"suffix":""},{"dropping-particle":"","family":"Purwar","given":"M","non-dropping-particle":"","parse-names":false,"suffix":""},{"dropping-particle":"","family":"Pang","given":"R","non-dropping-particle":"","parse-names":false,"suffix":""},{"dropping-particle":"","family":"Lambert","given":"A","non-dropping-particle":"","parse-names":false,"suffix":""},{"dropping-particle":"","family":"Papageorghiou","given":"A T","non-dropping-particle":"","parse-names":false,"suffix":""},{"dropping-particle":"","family":"Ochieng","given":"R","non-dropping-particle":"","parse-names":false,"suffix":""},{"dropping-particle":"","family":"Jaffer","given":"Y A","non-dropping-particle":"","parse-names":false,"suffix":""},{"dropping-particle":"","family":"Kennedy","given":"S H","non-dropping-particle":"","parse-names":false,"suffix":""}],"container-title":"Lancet Glob Health","id":"ITEM-1","issue":"11","issued":{"date-parts":[["2015"]]},"page":"e681-91","title":"Postnatal growth standards for preterm infants: the Preterm Postnatal Follow-up Study of the INTERGROWTH-21(st) Project","type":"article-journal","volume":"3"},"uris":["http://www.mendeley.com/documents/?uuid=2de897a1-09d8-4cdf-a105-b793ecc09442"]}],"mendeley":{"formattedCitation":"[5]","plainTextFormattedCitation":"[5]","previouslyFormattedCitation":"[4]"},"properties":{"noteIndex":0},"schema":"https://github.com/citation-style-language/schema/raw/master/csl-citation.json"}</w:instrText>
      </w:r>
      <w:r w:rsidRPr="00A04030">
        <w:rPr>
          <w:lang w:val="en-GB"/>
        </w:rPr>
        <w:fldChar w:fldCharType="separate"/>
      </w:r>
      <w:r w:rsidR="007E6FB0" w:rsidRPr="007E6FB0">
        <w:rPr>
          <w:noProof/>
          <w:lang w:val="en-GB"/>
        </w:rPr>
        <w:t>[5]</w:t>
      </w:r>
      <w:r w:rsidRPr="00A04030">
        <w:rPr>
          <w:lang w:val="en-GB"/>
        </w:rPr>
        <w:fldChar w:fldCharType="end"/>
      </w:r>
      <w:r w:rsidRPr="00A04030">
        <w:rPr>
          <w:lang w:val="en-GB"/>
        </w:rPr>
        <w:t xml:space="preserve"> Apgar scale at 5 minutes, type of delivery, and comorbidities; and, </w:t>
      </w:r>
      <w:r w:rsidR="00537A0E" w:rsidRPr="00537A0E">
        <w:rPr>
          <w:i/>
          <w:iCs/>
          <w:lang w:val="en-GB"/>
        </w:rPr>
        <w:t>(ii)</w:t>
      </w:r>
      <w:r w:rsidRPr="00A04030">
        <w:rPr>
          <w:lang w:val="en-GB"/>
        </w:rPr>
        <w:t xml:space="preserve"> contextual covariates: administrative planning areas, type of health care facility, and level of care, 2014 to 2016 Gini coefficient at the province level, province of the habitual residence of the mother, as well as province of neonatal health care, to identify neonates who died outside their mother’s usual residence province, and rural-urban health care facility.</w:t>
      </w:r>
    </w:p>
    <w:p w14:paraId="3EFA0605" w14:textId="77777777" w:rsidR="00FE0D33" w:rsidRPr="00A04030" w:rsidRDefault="00FE0D33" w:rsidP="00576380">
      <w:pPr>
        <w:pStyle w:val="Heading3"/>
      </w:pPr>
      <w:bookmarkStart w:id="12" w:name="_Toc65856983"/>
      <w:r w:rsidRPr="00A04030">
        <w:t>Statistical analyses:</w:t>
      </w:r>
      <w:bookmarkEnd w:id="12"/>
      <w:r w:rsidRPr="00A04030">
        <w:t xml:space="preserve"> </w:t>
      </w:r>
    </w:p>
    <w:p w14:paraId="7946CB75" w14:textId="3DB9F4AD" w:rsidR="00FE0D33" w:rsidRPr="00A04030" w:rsidRDefault="00FE0D33" w:rsidP="00576380">
      <w:pPr>
        <w:spacing w:line="480" w:lineRule="auto"/>
        <w:rPr>
          <w:lang w:val="en-GB"/>
        </w:rPr>
      </w:pPr>
      <w:r w:rsidRPr="00A04030">
        <w:rPr>
          <w:lang w:val="en-GB"/>
        </w:rPr>
        <w:t>Despite the analyses being performed using the whole database of Ecuadorian neonatal mortality from 2014 to 2017, we corroborated</w:t>
      </w:r>
      <w:r w:rsidR="00942A4C">
        <w:rPr>
          <w:lang w:val="en-GB"/>
        </w:rPr>
        <w:t xml:space="preserve"> </w:t>
      </w:r>
      <w:r w:rsidRPr="00A04030">
        <w:rPr>
          <w:lang w:val="en-GB"/>
        </w:rPr>
        <w:t>that a sample size of no less than 100 observations per altitude stratum was enough to allow meaningful comparative survival analyses of the categories chosen</w:t>
      </w:r>
      <w:r w:rsidR="00A04030">
        <w:rPr>
          <w:lang w:val="en-GB"/>
        </w:rPr>
        <w:t>.</w:t>
      </w:r>
      <w:r w:rsidRPr="00A04030">
        <w:rPr>
          <w:lang w:val="en-GB"/>
        </w:rPr>
        <w:fldChar w:fldCharType="begin" w:fldLock="1"/>
      </w:r>
      <w:r w:rsidR="007E6FB0">
        <w:rPr>
          <w:lang w:val="en-GB"/>
        </w:rPr>
        <w:instrText>ADDIN CSL_CITATION {"citationItems":[{"id":"ITEM-1","itemData":{"DOI":"10.2307/2531021","ISSN":"0006341X","PMID":"6354290","abstract":"A formula is derived for determining the number of observations necessary to test the equality of two survival distributions when concomitant information is incorporated. This formula should be useful in designing clinical trials with a heterogeneous patient population. Schoenfeld (1981, Biometrika 68, 316-319) derived the asymptotic power of a class of statistics used to test the equality of two survival distributions. That result is extended to the case where concomitant information is available for each individual and where the proportional-hazards model holds. The loss of efficiency caused by ignoring concomitant variables is also computed.","author":[{"dropping-particle":"","family":"Schoenfeld","given":"David A.","non-dropping-particle":"","parse-names":false,"suffix":""}],"container-title":"Biometrics","id":"ITEM-1","issue":"2","issued":{"date-parts":[["1983"]]},"page":"499","title":"Sample-Size Formula for the Proportional-Hazards Regression Model","type":"article-journal","volume":"39"},"uris":["http://www.mendeley.com/documents/?uuid=a1353037-ac31-4423-bacd-a487f4470127"]}],"mendeley":{"formattedCitation":"[6]","plainTextFormattedCitation":"[6]","previouslyFormattedCitation":"[5]"},"properties":{"noteIndex":0},"schema":"https://github.com/citation-style-language/schema/raw/master/csl-citation.json"}</w:instrText>
      </w:r>
      <w:r w:rsidRPr="00A04030">
        <w:rPr>
          <w:lang w:val="en-GB"/>
        </w:rPr>
        <w:fldChar w:fldCharType="separate"/>
      </w:r>
      <w:r w:rsidR="007E6FB0" w:rsidRPr="007E6FB0">
        <w:rPr>
          <w:noProof/>
          <w:lang w:val="en-GB"/>
        </w:rPr>
        <w:t>[6]</w:t>
      </w:r>
      <w:r w:rsidRPr="00A04030">
        <w:rPr>
          <w:lang w:val="en-GB"/>
        </w:rPr>
        <w:fldChar w:fldCharType="end"/>
      </w:r>
      <w:r w:rsidR="00D07693" w:rsidRPr="00A04030">
        <w:rPr>
          <w:lang w:val="en-GB"/>
        </w:rPr>
        <w:t xml:space="preserve">.  </w:t>
      </w:r>
    </w:p>
    <w:p w14:paraId="2BF83D71" w14:textId="77777777" w:rsidR="00FE0D33" w:rsidRPr="00A04030" w:rsidRDefault="00FE0D33" w:rsidP="00576380">
      <w:pPr>
        <w:pStyle w:val="Heading3"/>
      </w:pPr>
      <w:bookmarkStart w:id="13" w:name="_Toc65856984"/>
      <w:r w:rsidRPr="00A04030">
        <w:t>Sample size considerations</w:t>
      </w:r>
      <w:bookmarkEnd w:id="13"/>
    </w:p>
    <w:p w14:paraId="18C5B7C6" w14:textId="6BE42830" w:rsidR="00FE0D33" w:rsidRPr="00A04030" w:rsidRDefault="00FE0D33" w:rsidP="00576380">
      <w:pPr>
        <w:spacing w:line="480" w:lineRule="auto"/>
        <w:rPr>
          <w:lang w:val="en-GB"/>
        </w:rPr>
      </w:pPr>
      <w:r w:rsidRPr="00A04030">
        <w:rPr>
          <w:lang w:val="en-GB"/>
        </w:rPr>
        <w:t xml:space="preserve">The analyses were performed using the whole database of Ecuadorian neonatal mortality from 2014 to 2017, and we corroborated, </w:t>
      </w:r>
      <w:r w:rsidRPr="00A04030">
        <w:rPr>
          <w:i/>
          <w:lang w:val="en-GB"/>
        </w:rPr>
        <w:t>a posteriori</w:t>
      </w:r>
      <w:r w:rsidRPr="00A04030">
        <w:rPr>
          <w:lang w:val="en-GB"/>
        </w:rPr>
        <w:t>, that a sample size of no less than 100 observations per altitude stratum was enough to allow meaningful comparative mortality risk analyses of the categories chosen, by using a sample size calculation for survival analysis</w:t>
      </w:r>
      <w:r w:rsidRPr="00A04030">
        <w:rPr>
          <w:lang w:val="en-GB"/>
        </w:rPr>
        <w:fldChar w:fldCharType="begin" w:fldLock="1"/>
      </w:r>
      <w:r w:rsidR="007E6FB0">
        <w:rPr>
          <w:lang w:val="en-GB"/>
        </w:rPr>
        <w:instrText>ADDIN CSL_CITATION {"citationItems":[{"id":"ITEM-1","itemData":{"DOI":"10.2307/2531021","ISSN":"0006341X","PMID":"6354290","abstract":"A formula is derived for determining the number of observations necessary to test the equality of two survival distributions when concomitant information is incorporated. This formula should be useful in designing clinical trials with a heterogeneous patient population. Schoenfeld (1981, Biometrika 68, 316-319) derived the asymptotic power of a class of statistics used to test the equality of two survival distributions. That result is extended to the case where concomitant information is available for each individual and where the proportional-hazards model holds. The loss of efficiency caused by ignoring concomitant variables is also computed.","author":[{"dropping-particle":"","family":"Schoenfeld","given":"David A.","non-dropping-particle":"","parse-names":false,"suffix":""}],"container-title":"Biometrics","id":"ITEM-1","issue":"2","issued":{"date-parts":[["1983"]]},"page":"499","title":"Sample-Size Formula for the Proportional-Hazards Regression Model","type":"article-journal","volume":"39"},"uris":["http://www.mendeley.com/documents/?uuid=a1353037-ac31-4423-bacd-a487f4470127"]}],"mendeley":{"formattedCitation":"[6]","plainTextFormattedCitation":"[6]","previouslyFormattedCitation":"[5]"},"properties":{"noteIndex":0},"schema":"https://github.com/citation-style-language/schema/raw/master/csl-citation.json"}</w:instrText>
      </w:r>
      <w:r w:rsidRPr="00A04030">
        <w:rPr>
          <w:lang w:val="en-GB"/>
        </w:rPr>
        <w:fldChar w:fldCharType="separate"/>
      </w:r>
      <w:r w:rsidR="007E6FB0" w:rsidRPr="007E6FB0">
        <w:rPr>
          <w:noProof/>
          <w:lang w:val="en-GB"/>
        </w:rPr>
        <w:t>[6]</w:t>
      </w:r>
      <w:r w:rsidRPr="00A04030">
        <w:rPr>
          <w:lang w:val="en-GB"/>
        </w:rPr>
        <w:fldChar w:fldCharType="end"/>
      </w:r>
      <w:r w:rsidRPr="00A04030">
        <w:rPr>
          <w:lang w:val="en-GB"/>
        </w:rPr>
        <w:t xml:space="preserve"> (http://www.sample-size.net/sample-size-survival-analysis/). Considering: </w:t>
      </w:r>
      <w:r w:rsidR="00537A0E" w:rsidRPr="00537A0E">
        <w:rPr>
          <w:i/>
          <w:iCs/>
          <w:lang w:val="en-GB"/>
        </w:rPr>
        <w:t>(i)</w:t>
      </w:r>
      <w:r w:rsidRPr="00A04030">
        <w:rPr>
          <w:lang w:val="en-GB"/>
        </w:rPr>
        <w:t xml:space="preserve"> a two-tailed alpha of 0.05, </w:t>
      </w:r>
      <w:r w:rsidR="00537A0E" w:rsidRPr="00537A0E">
        <w:rPr>
          <w:i/>
          <w:iCs/>
          <w:lang w:val="en-GB"/>
        </w:rPr>
        <w:t>(ii)</w:t>
      </w:r>
      <w:r w:rsidRPr="00A04030">
        <w:rPr>
          <w:lang w:val="en-GB"/>
        </w:rPr>
        <w:t xml:space="preserve"> a β of 0.20, </w:t>
      </w:r>
      <w:r w:rsidR="00537A0E" w:rsidRPr="00537A0E">
        <w:rPr>
          <w:i/>
          <w:iCs/>
          <w:lang w:val="en-GB"/>
        </w:rPr>
        <w:t>(iii)</w:t>
      </w:r>
      <w:r w:rsidRPr="00A04030">
        <w:rPr>
          <w:lang w:val="en-GB"/>
        </w:rPr>
        <w:t xml:space="preserve"> a proportion of 0.95 of subjects in the unexposed to altitude group (</w:t>
      </w:r>
      <w:r w:rsidRPr="00A04030">
        <w:rPr>
          <w:i/>
          <w:lang w:val="en-GB"/>
        </w:rPr>
        <w:t>i.e.,</w:t>
      </w:r>
      <w:r w:rsidRPr="00A04030">
        <w:rPr>
          <w:lang w:val="en-GB"/>
        </w:rPr>
        <w:t xml:space="preserve"> &lt;80 m) and a proportion of 0.05 of subjects in the exposed group (</w:t>
      </w:r>
      <w:r w:rsidRPr="00A04030">
        <w:rPr>
          <w:i/>
          <w:lang w:val="en-GB"/>
        </w:rPr>
        <w:t>i.e.,</w:t>
      </w:r>
      <w:r w:rsidRPr="00A04030">
        <w:rPr>
          <w:lang w:val="en-GB"/>
        </w:rPr>
        <w:t xml:space="preserve"> ≥80 m), </w:t>
      </w:r>
      <w:r w:rsidR="00537A0E" w:rsidRPr="00537A0E">
        <w:rPr>
          <w:i/>
          <w:iCs/>
          <w:lang w:val="en-GB"/>
        </w:rPr>
        <w:t>(iv)</w:t>
      </w:r>
      <w:r w:rsidRPr="00A04030">
        <w:rPr>
          <w:lang w:val="en-GB"/>
        </w:rPr>
        <w:t xml:space="preserve"> a relative hazard of at least 1.40, </w:t>
      </w:r>
      <w:r w:rsidR="00537A0E" w:rsidRPr="00537A0E">
        <w:rPr>
          <w:i/>
          <w:iCs/>
          <w:lang w:val="en-GB"/>
        </w:rPr>
        <w:t>(v)</w:t>
      </w:r>
      <w:r w:rsidRPr="00A04030">
        <w:rPr>
          <w:lang w:val="en-GB"/>
        </w:rPr>
        <w:t xml:space="preserve"> a baseline event rate for the unexposed group of 0.16 deaths per patients-day, </w:t>
      </w:r>
      <w:r w:rsidR="00537A0E" w:rsidRPr="00537A0E">
        <w:rPr>
          <w:i/>
          <w:iCs/>
          <w:lang w:val="en-GB"/>
        </w:rPr>
        <w:t>(vi)</w:t>
      </w:r>
      <w:r w:rsidRPr="00A04030">
        <w:rPr>
          <w:lang w:val="en-GB"/>
        </w:rPr>
        <w:t xml:space="preserve"> a median survival time in unexposed of 4 days, and, </w:t>
      </w:r>
      <w:r w:rsidR="00537A0E" w:rsidRPr="00537A0E">
        <w:rPr>
          <w:i/>
          <w:iCs/>
          <w:lang w:val="en-GB"/>
        </w:rPr>
        <w:t>(vii)</w:t>
      </w:r>
      <w:r w:rsidRPr="00A04030">
        <w:rPr>
          <w:lang w:val="en-GB"/>
        </w:rPr>
        <w:t xml:space="preserve"> a planned average length of follow-up of 15 days; we calculated a sample of at least 100 patients in the exposed stratum and, at least, 1902 patients in the unexposed stratum; which represents, a total </w:t>
      </w:r>
      <w:r w:rsidRPr="00A04030">
        <w:rPr>
          <w:lang w:val="en-GB"/>
        </w:rPr>
        <w:lastRenderedPageBreak/>
        <w:t>n of no less than 2002 patients. Finally, the population studied was 3016 patients, with no less than 156 patients in the smallest altitude stratum. Finally, we analyzed 3016 deceased neonates, with 156 patients in the smallest altitude stratum.</w:t>
      </w:r>
    </w:p>
    <w:p w14:paraId="7427E51E" w14:textId="657A7001" w:rsidR="00FE0D33" w:rsidRPr="00A04030" w:rsidRDefault="00FE0D33" w:rsidP="00576380">
      <w:pPr>
        <w:spacing w:line="480" w:lineRule="auto"/>
        <w:rPr>
          <w:lang w:val="en-GB"/>
        </w:rPr>
      </w:pPr>
      <w:r w:rsidRPr="00A04030">
        <w:rPr>
          <w:lang w:val="en-GB"/>
        </w:rPr>
        <w:t xml:space="preserve">Descriptive statistics were performed using percentages for categorical variables and median and P25 to P75 for discrete variables. </w:t>
      </w:r>
      <w:bookmarkStart w:id="14" w:name="_Hlk45296956"/>
      <w:r w:rsidRPr="00A04030">
        <w:rPr>
          <w:lang w:val="en-GB"/>
        </w:rPr>
        <w:t xml:space="preserve">To assess the differences of each individual and contextual variable across altitude categories, we performed: </w:t>
      </w:r>
      <w:r w:rsidR="00537A0E" w:rsidRPr="00537A0E">
        <w:rPr>
          <w:i/>
          <w:iCs/>
          <w:lang w:val="en-GB"/>
        </w:rPr>
        <w:t>(i)</w:t>
      </w:r>
      <w:r w:rsidRPr="00A04030">
        <w:rPr>
          <w:lang w:val="en-GB"/>
        </w:rPr>
        <w:t xml:space="preserve"> Kruskal Wallis tests for assessing differences of Apgar score at 5 minutes and gestational age; </w:t>
      </w:r>
      <w:r w:rsidR="00537A0E" w:rsidRPr="00537A0E">
        <w:rPr>
          <w:i/>
          <w:iCs/>
          <w:lang w:val="en-GB"/>
        </w:rPr>
        <w:t>(ii)</w:t>
      </w:r>
      <w:r w:rsidRPr="00A04030">
        <w:rPr>
          <w:lang w:val="en-GB"/>
        </w:rPr>
        <w:t xml:space="preserve"> ANOVA for assessing differences in birth weight </w:t>
      </w:r>
      <w:r w:rsidR="00537A0E" w:rsidRPr="00537A0E">
        <w:rPr>
          <w:i/>
          <w:iCs/>
          <w:lang w:val="en-GB"/>
        </w:rPr>
        <w:t>(iii)</w:t>
      </w:r>
      <w:r w:rsidRPr="00A04030">
        <w:rPr>
          <w:lang w:val="en-GB"/>
        </w:rPr>
        <w:t xml:space="preserve"> Chi2 tests for assessing differences of small for gestational age, type of delivery, comorbidities, tertiles of Gini at the provincial level, type of health care center, level of care, neonatal deaths outside their mother’s usual residence province, and rural-urban health care facility; and, </w:t>
      </w:r>
      <w:r w:rsidR="00537A0E" w:rsidRPr="00537A0E">
        <w:rPr>
          <w:i/>
          <w:iCs/>
          <w:lang w:val="en-GB"/>
        </w:rPr>
        <w:t>(iv)</w:t>
      </w:r>
      <w:r w:rsidRPr="00A04030">
        <w:rPr>
          <w:lang w:val="en-GB"/>
        </w:rPr>
        <w:t xml:space="preserve"> log-rank test for equality of survivor functions for assessing differences of neonatal survival time, as measured by days, –the main outcome–. </w:t>
      </w:r>
    </w:p>
    <w:bookmarkEnd w:id="14"/>
    <w:p w14:paraId="398DA6F6" w14:textId="05285FED" w:rsidR="00FE0D33" w:rsidRPr="00A04030" w:rsidRDefault="00FE0D33" w:rsidP="00576380">
      <w:pPr>
        <w:spacing w:line="480" w:lineRule="auto"/>
        <w:rPr>
          <w:lang w:val="en-GB"/>
        </w:rPr>
      </w:pPr>
      <w:r w:rsidRPr="00A04030">
        <w:rPr>
          <w:lang w:val="en-GB"/>
        </w:rPr>
        <w:t>Then, we estimated crude and adjusted HR per each stratum of altitude.</w:t>
      </w:r>
      <w:r w:rsidRPr="00A04030">
        <w:rPr>
          <w:lang w:val="en-GB"/>
        </w:rPr>
        <w:fldChar w:fldCharType="begin" w:fldLock="1"/>
      </w:r>
      <w:r w:rsidR="007E6FB0">
        <w:rPr>
          <w:lang w:val="en-GB"/>
        </w:rPr>
        <w:instrText>ADDIN CSL_CITATION {"citationItems":[{"id":"ITEM-1","itemData":{"DOI":"10.1186/cc2955","ISSN":"13648535","abstract":"This review introduces methods of analyzing data arising from studies where the response variable is the length of time taken to reach a certain end-point, often death. The Kaplan-Meier methods, log rank test and Cox's proportional hazards model are described. © 2004 BioMed Central Ltd.","author":[{"dropping-particle":"","family":"Bewick","given":"Viv","non-dropping-particle":"","parse-names":false,"suffix":""},{"dropping-particle":"","family":"Cheek","given":"Liz","non-dropping-particle":"","parse-names":false,"suffix":""},{"dropping-particle":"","family":"Ball","given":"Jonathan","non-dropping-particle":"","parse-names":false,"suffix":""}],"container-title":"Critical Care","id":"ITEM-1","issue":"5","issued":{"date-parts":[["2004"]]},"page":"389-394","title":"Statistics review 12: Survival analysis","type":"article-journal","volume":"8"},"uris":["http://www.mendeley.com/documents/?uuid=f95003cf-fd96-4a89-ac6a-d24e7f8066c8"]}],"mendeley":{"formattedCitation":"[1]","plainTextFormattedCitation":"[1]","previouslyFormattedCitation":"[1]"},"properties":{"noteIndex":0},"schema":"https://github.com/citation-style-language/schema/raw/master/csl-citation.json"}</w:instrText>
      </w:r>
      <w:r w:rsidRPr="00A04030">
        <w:rPr>
          <w:lang w:val="en-GB"/>
        </w:rPr>
        <w:fldChar w:fldCharType="separate"/>
      </w:r>
      <w:r w:rsidR="00ED71E2" w:rsidRPr="00ED71E2">
        <w:rPr>
          <w:noProof/>
          <w:lang w:val="en-GB"/>
        </w:rPr>
        <w:t>[1]</w:t>
      </w:r>
      <w:r w:rsidRPr="00A04030">
        <w:rPr>
          <w:lang w:val="en-GB"/>
        </w:rPr>
        <w:fldChar w:fldCharType="end"/>
      </w:r>
      <w:r w:rsidRPr="00A04030">
        <w:rPr>
          <w:lang w:val="en-GB"/>
        </w:rPr>
        <w:t xml:space="preserve"> In that sense, we built multivariate Cox proportional hazards models, to evaluate the independent association between altitude and neonatal survival time among at-risk neonates.</w:t>
      </w:r>
    </w:p>
    <w:p w14:paraId="0A4AF6F9" w14:textId="6D602B28" w:rsidR="00FE0D33" w:rsidRPr="00A04030" w:rsidRDefault="00FE0D33" w:rsidP="00576380">
      <w:pPr>
        <w:spacing w:line="480" w:lineRule="auto"/>
        <w:rPr>
          <w:lang w:val="en-GB"/>
        </w:rPr>
      </w:pPr>
      <w:bookmarkStart w:id="15" w:name="_Hlk36045201"/>
      <w:r w:rsidRPr="00A04030">
        <w:rPr>
          <w:lang w:val="en-GB"/>
        </w:rPr>
        <w:t xml:space="preserve">We built a saturated model that included all individual covariates </w:t>
      </w:r>
      <w:proofErr w:type="gramStart"/>
      <w:r w:rsidRPr="00A04030">
        <w:rPr>
          <w:lang w:val="en-GB"/>
        </w:rPr>
        <w:t>and,</w:t>
      </w:r>
      <w:proofErr w:type="gramEnd"/>
      <w:r w:rsidRPr="00A04030">
        <w:rPr>
          <w:lang w:val="en-GB"/>
        </w:rPr>
        <w:t xml:space="preserve"> based on the researchers' expertise</w:t>
      </w:r>
      <w:bookmarkEnd w:id="15"/>
      <w:r w:rsidR="00D07693" w:rsidRPr="00A04030">
        <w:rPr>
          <w:lang w:val="en-GB"/>
        </w:rPr>
        <w:t>, w</w:t>
      </w:r>
      <w:r w:rsidRPr="00A04030">
        <w:rPr>
          <w:lang w:val="en-GB"/>
        </w:rPr>
        <w:t>e selected the covariates that were retained in the parsimonious model (</w:t>
      </w:r>
      <w:r w:rsidR="00576934">
        <w:rPr>
          <w:lang w:val="en-GB"/>
        </w:rPr>
        <w:t xml:space="preserve">S1 </w:t>
      </w:r>
      <w:r w:rsidRPr="00576934">
        <w:rPr>
          <w:lang w:val="en-GB"/>
        </w:rPr>
        <w:t>Table</w:t>
      </w:r>
      <w:r w:rsidRPr="00A04030">
        <w:rPr>
          <w:lang w:val="en-GB"/>
        </w:rPr>
        <w:t>), which shows the variables that were excluded from the saturated model, as well as the estimates resulting from the parsimonious model. Hazard ratios were estimated. The 95% confidence intervals (</w:t>
      </w:r>
      <w:r w:rsidR="00311377">
        <w:rPr>
          <w:lang w:val="en-GB"/>
        </w:rPr>
        <w:t>95% CI</w:t>
      </w:r>
      <w:r w:rsidRPr="00A04030">
        <w:rPr>
          <w:lang w:val="en-GB"/>
        </w:rPr>
        <w:t>) of the HR and their corresponding p-values were obtained. Once the parsimonious model was obtained, we compared both models and chose the “final” model, according to its level of significance from the likelihood ratio test.</w:t>
      </w:r>
    </w:p>
    <w:p w14:paraId="78F16C7F" w14:textId="77777777" w:rsidR="00FE0D33" w:rsidRPr="00A04030" w:rsidRDefault="00FE0D33" w:rsidP="00576380">
      <w:pPr>
        <w:spacing w:line="480" w:lineRule="auto"/>
        <w:rPr>
          <w:lang w:val="en-GB"/>
        </w:rPr>
      </w:pPr>
      <w:r w:rsidRPr="00A04030">
        <w:rPr>
          <w:lang w:val="en-GB"/>
        </w:rPr>
        <w:t xml:space="preserve">To assess the effects from contextual variables on mortality, we estimated HR by mixed-effects Cox proportional hazards models, considering contextual variables in model 1: </w:t>
      </w:r>
      <w:r w:rsidRPr="00A04030">
        <w:rPr>
          <w:lang w:val="en-GB"/>
        </w:rPr>
        <w:lastRenderedPageBreak/>
        <w:t>administrative planning areas, because of potential differences in quality of care across those zones, type of health care facility (</w:t>
      </w:r>
      <w:r w:rsidRPr="00A04030">
        <w:rPr>
          <w:i/>
          <w:iCs/>
          <w:lang w:val="en-GB"/>
        </w:rPr>
        <w:t>i.e.</w:t>
      </w:r>
      <w:r w:rsidRPr="00A04030">
        <w:rPr>
          <w:lang w:val="en-GB"/>
        </w:rPr>
        <w:t>, public or private) because of differential quality of care across the type of care, and level of care (</w:t>
      </w:r>
      <w:r w:rsidRPr="00A04030">
        <w:rPr>
          <w:i/>
          <w:iCs/>
          <w:lang w:val="en-GB"/>
        </w:rPr>
        <w:t>i.e.</w:t>
      </w:r>
      <w:r w:rsidRPr="00A04030">
        <w:rPr>
          <w:lang w:val="en-GB"/>
        </w:rPr>
        <w:t xml:space="preserve">, primary, secondary or tertiary care) because of differential resources on neonatal health care, in model 2: administrative planning areas, and level of care; and in model 3: level of care, only. </w:t>
      </w:r>
    </w:p>
    <w:p w14:paraId="60DC2D42" w14:textId="6D203685" w:rsidR="00FE0D33" w:rsidRPr="004955DB" w:rsidRDefault="00FE0D33" w:rsidP="00576380">
      <w:pPr>
        <w:spacing w:line="480" w:lineRule="auto"/>
        <w:rPr>
          <w:lang w:val="en-GB"/>
        </w:rPr>
      </w:pPr>
      <w:r w:rsidRPr="004955DB">
        <w:rPr>
          <w:lang w:val="en-GB"/>
        </w:rPr>
        <w:t xml:space="preserve">We performed several secondary analyses to assess the sensitivity of our estimates to our assumptions regarding biases, as well as to test for model misspecification. First, considering that differential treatment for individual causes of death (for example, asphyxia, infectious diseases, etc.) could affect the estimates, we ran final model excluding neonates who died from </w:t>
      </w:r>
      <w:r w:rsidR="00537A0E" w:rsidRPr="004955DB">
        <w:rPr>
          <w:i/>
          <w:iCs/>
          <w:lang w:val="en-GB"/>
        </w:rPr>
        <w:t>(i)</w:t>
      </w:r>
      <w:r w:rsidRPr="004955DB">
        <w:rPr>
          <w:lang w:val="en-GB"/>
        </w:rPr>
        <w:t xml:space="preserve"> asphyxia related disorders, </w:t>
      </w:r>
      <w:r w:rsidR="00537A0E" w:rsidRPr="004955DB">
        <w:rPr>
          <w:i/>
          <w:iCs/>
          <w:lang w:val="en-GB"/>
        </w:rPr>
        <w:t>(ii)</w:t>
      </w:r>
      <w:r w:rsidRPr="004955DB">
        <w:rPr>
          <w:lang w:val="en-GB"/>
        </w:rPr>
        <w:t xml:space="preserve"> congenital malformations, </w:t>
      </w:r>
      <w:r w:rsidR="00537A0E" w:rsidRPr="004955DB">
        <w:rPr>
          <w:i/>
          <w:iCs/>
          <w:lang w:val="en-GB"/>
        </w:rPr>
        <w:t>(iii)</w:t>
      </w:r>
      <w:r w:rsidRPr="004955DB">
        <w:rPr>
          <w:lang w:val="en-GB"/>
        </w:rPr>
        <w:t xml:space="preserve"> prematurity related disorders, </w:t>
      </w:r>
      <w:r w:rsidR="00537A0E" w:rsidRPr="004955DB">
        <w:rPr>
          <w:i/>
          <w:iCs/>
          <w:lang w:val="en-GB"/>
        </w:rPr>
        <w:t>(iv)</w:t>
      </w:r>
      <w:r w:rsidRPr="004955DB">
        <w:rPr>
          <w:lang w:val="en-GB"/>
        </w:rPr>
        <w:t xml:space="preserve"> infectious disorders. Second, in order to verify estimations did not change significantly between the highest and lowest risk of adverse outcomes, we excluded those neonates with &lt;5 points and those with ≥7 Apgar score at 5 minutes. Third, knowing that migration from the residence where the pregnancy occurred could modify the estimates, we tested that, excluding neonates who died in a different province than their mother's habitual residence. </w:t>
      </w:r>
      <w:bookmarkStart w:id="16" w:name="_Hlk45277974"/>
      <w:r w:rsidRPr="004955DB">
        <w:rPr>
          <w:lang w:val="en-GB"/>
        </w:rPr>
        <w:t xml:space="preserve">Fourth, </w:t>
      </w:r>
      <w:r w:rsidR="00D07693" w:rsidRPr="004955DB">
        <w:rPr>
          <w:lang w:val="en-GB"/>
        </w:rPr>
        <w:t>we</w:t>
      </w:r>
      <w:r w:rsidRPr="004955DB">
        <w:rPr>
          <w:lang w:val="en-GB"/>
        </w:rPr>
        <w:t xml:space="preserve"> </w:t>
      </w:r>
      <w:r w:rsidR="00D07693" w:rsidRPr="004955DB">
        <w:rPr>
          <w:lang w:val="en-GB"/>
        </w:rPr>
        <w:t>built four binomial secondary outcomes of</w:t>
      </w:r>
      <w:r w:rsidRPr="004955DB">
        <w:rPr>
          <w:lang w:val="en-GB"/>
        </w:rPr>
        <w:t xml:space="preserve"> survival: death before 24, 48, 72 hours, and before 7 days of life</w:t>
      </w:r>
      <w:r w:rsidR="00D07693" w:rsidRPr="004955DB">
        <w:rPr>
          <w:lang w:val="en-GB"/>
        </w:rPr>
        <w:t xml:space="preserve"> and</w:t>
      </w:r>
      <w:r w:rsidRPr="004955DB">
        <w:rPr>
          <w:lang w:val="en-GB"/>
        </w:rPr>
        <w:t xml:space="preserve"> ran four mixed-effects multivariate logistic regression models to estimate </w:t>
      </w:r>
      <w:r w:rsidR="00D07693" w:rsidRPr="004955DB">
        <w:rPr>
          <w:lang w:val="en-GB"/>
        </w:rPr>
        <w:t xml:space="preserve">adjusted </w:t>
      </w:r>
      <w:r w:rsidRPr="004955DB">
        <w:rPr>
          <w:lang w:val="en-GB"/>
        </w:rPr>
        <w:t>odds ratios</w:t>
      </w:r>
      <w:r w:rsidR="00D07693" w:rsidRPr="004955DB">
        <w:rPr>
          <w:lang w:val="en-GB"/>
        </w:rPr>
        <w:t xml:space="preserve"> covariates used in</w:t>
      </w:r>
      <w:r w:rsidRPr="004955DB">
        <w:rPr>
          <w:lang w:val="en-GB"/>
        </w:rPr>
        <w:t xml:space="preserve"> model 1.</w:t>
      </w:r>
      <w:bookmarkEnd w:id="16"/>
      <w:r w:rsidRPr="004955DB">
        <w:rPr>
          <w:lang w:val="en-GB"/>
        </w:rPr>
        <w:t xml:space="preserve"> </w:t>
      </w:r>
      <w:bookmarkStart w:id="17" w:name="_Hlk45808552"/>
      <w:r w:rsidR="004955DB" w:rsidRPr="004955DB">
        <w:rPr>
          <w:lang w:val="en-GB"/>
        </w:rPr>
        <w:t>Fifth, regarding the fact that the database is a death registry –and all neonates die–, it represents a right truncated database. Right truncation occurs when patients who experience the event are selectively included, and hence, survivors are not selected for the study. Despite potential bias caused by truncation exists, several studies have been used right truncated databases for survival analysis</w:t>
      </w:r>
      <w:r w:rsidR="000400D3" w:rsidRPr="004955DB">
        <w:rPr>
          <w:lang w:val="en-GB"/>
        </w:rPr>
        <w:fldChar w:fldCharType="begin" w:fldLock="1"/>
      </w:r>
      <w:r w:rsidR="007E6FB0">
        <w:rPr>
          <w:lang w:val="en-GB"/>
        </w:rPr>
        <w:instrText>ADDIN CSL_CITATION {"citationItems":[{"id":"ITEM-1","itemData":{"DOI":"10.1016/j.physbeh.2017.03.040","author":[{"dropping-particle":"","family":"Mandel","given":"Micha","non-dropping-particle":"","parse-names":false,"suffix":""}],"container-title":"Biometrics","id":"ITEM-1","issue":"2","issued":{"date-parts":[["2018"]]},"page":"481 - 487","title":"Inverse Probability Weighted Cox Regression for Doubly Truncated Data","type":"article-journal","volume":"74"},"uris":["http://www.mendeley.com/documents/?uuid=c569c29f-e527-497d-87c7-debc51aa1d70"]},{"id":"ITEM-2","itemData":{"DOI":"10.1002/sim.8206","ISSN":"10970258","PMID":"31119770","abstract":"In observational studies with censored data, exposure-outcome associations are commonly measured with adjusted hazard ratios from multivariable Cox proportional hazards models. The difference in restricted mean survival times (RMSTs) up to a pre-specified time point is an alternative measure that offers a clinically meaningful interpretation. Several regression-based methods exist to estimate an adjusted difference in RMSTs, but they digress from the model-free method of taking the area under the survival function. We derive the adjusted RMST by integrating an adjusted Kaplan-Meier estimator with inverse probability weighting (IPW). The adjusted difference in RMSTs is the area between the two IPW-adjusted survival functions. In a Monte Carlo-type simulation study, we demonstrate that the proposed estimator performs as well as two regression-based approaches: the ANCOVA-type method of Tian et al and the pseudo-observation method of Andersen et al. We illustrate the methods by reexamining the association between total cholesterol and the 10-year risk of coronary heart disease in the Framingham Heart Study.","author":[{"dropping-particle":"","family":"Conner","given":"Sarah C.","non-dropping-particle":"","parse-names":false,"suffix":""},{"dropping-particle":"","family":"Sullivan","given":"Lisa M.","non-dropping-particle":"","parse-names":false,"suffix":""},{"dropping-particle":"","family":"Benjamin","given":"Emelia J.","non-dropping-particle":"","parse-names":false,"suffix":""},{"dropping-particle":"","family":"LaValley","given":"Michael P.","non-dropping-particle":"","parse-names":false,"suffix":""},{"dropping-particle":"","family":"Galea","given":"Sandro","non-dropping-particle":"","parse-names":false,"suffix":""},{"dropping-particle":"","family":"Trinquart","given":"Ludovic","non-dropping-particle":"","parse-names":false,"suffix":""}],"container-title":"Statistics in Medicine","id":"ITEM-2","issue":"20","issued":{"date-parts":[["2019"]]},"page":"3832-3860","title":"Adjusted restricted mean survival times in observational studies","type":"article-journal","volume":"38"},"uris":["http://www.mendeley.com/documents/?uuid=c48df82d-49cf-47aa-a3c8-b661e3c4d7d4"]},{"id":"ITEM-3","itemData":{"DOI":"10.1093/biomet/75.3.515","ISSN":"00063444","abstract":"One source of data for the induction distribution of aids arises from persons infected by the aids virus from contaminated blood transfusions. Analyses of these data are complicated because the number of individuals infected by transfusion is unknown; information is available only for those who are infected and develop aids within a certain chronologic time interval. The statistical problem is one of making inferences about a stochastic process of infection and disease for which realizations are right truncated in chronologic time. By considering the process in reverse time, we transform the problem to one of analysing survival data that are left truncated in internal time. We develop nonparametric methods for estimating and comparing the identifiable aspects of the induction distributions of several groups. © 1988 Biometrika Trust.","author":[{"dropping-particle":"","family":"Lagakos","given":"S. W.","non-dropping-particle":"","parse-names":false,"suffix":""},{"dropping-particle":"","family":"Barraj","given":"L. M.","non-dropping-particle":"","parse-names":false,"suffix":""},{"dropping-particle":"De","family":"Gruttola","given":"V.","non-dropping-particle":"","parse-names":false,"suffix":""}],"container-title":"Biometrika","id":"ITEM-3","issue":"3","issued":{"date-parts":[["1988"]]},"page":"515-523","title":"Nonparametric analysis of truncated survival data, with application to aids","type":"article-journal","volume":"75"},"uris":["http://www.mendeley.com/documents/?uuid=fc31e77d-7297-422b-9602-8ea0e378ae94","http://www.mendeley.com/documents/?uuid=bb1c5ad1-2835-4075-8c72-f28d8b1762da"]}],"mendeley":{"formattedCitation":"[7–9]","plainTextFormattedCitation":"[7–9]","previouslyFormattedCitation":"[6–8]"},"properties":{"noteIndex":0},"schema":"https://github.com/citation-style-language/schema/raw/master/csl-citation.json"}</w:instrText>
      </w:r>
      <w:r w:rsidR="000400D3" w:rsidRPr="004955DB">
        <w:rPr>
          <w:lang w:val="en-GB"/>
        </w:rPr>
        <w:fldChar w:fldCharType="separate"/>
      </w:r>
      <w:r w:rsidR="007E6FB0" w:rsidRPr="007E6FB0">
        <w:rPr>
          <w:noProof/>
          <w:lang w:val="en-GB"/>
        </w:rPr>
        <w:t>[7–9]</w:t>
      </w:r>
      <w:r w:rsidR="000400D3" w:rsidRPr="004955DB">
        <w:rPr>
          <w:lang w:val="en-GB"/>
        </w:rPr>
        <w:fldChar w:fldCharType="end"/>
      </w:r>
      <w:bookmarkEnd w:id="17"/>
      <w:r w:rsidR="004955DB">
        <w:rPr>
          <w:lang w:val="en-GB"/>
        </w:rPr>
        <w:t>, addressing</w:t>
      </w:r>
      <w:r w:rsidR="004955DB" w:rsidRPr="004955DB">
        <w:rPr>
          <w:lang w:val="en-GB"/>
        </w:rPr>
        <w:t xml:space="preserve"> </w:t>
      </w:r>
      <w:r w:rsidR="004955DB">
        <w:rPr>
          <w:lang w:val="en-GB"/>
        </w:rPr>
        <w:t xml:space="preserve">such </w:t>
      </w:r>
      <w:r w:rsidR="004955DB" w:rsidRPr="004955DB">
        <w:rPr>
          <w:lang w:val="en-GB"/>
        </w:rPr>
        <w:t>potential</w:t>
      </w:r>
      <w:r w:rsidR="004955DB">
        <w:rPr>
          <w:lang w:val="en-GB"/>
        </w:rPr>
        <w:t xml:space="preserve"> source of </w:t>
      </w:r>
      <w:r w:rsidR="004955DB" w:rsidRPr="004955DB">
        <w:rPr>
          <w:lang w:val="en-GB"/>
        </w:rPr>
        <w:t>bias by using Inverse Probability Weighted (IPW) Cox Regression.</w:t>
      </w:r>
      <w:r w:rsidR="004955DB" w:rsidRPr="004955DB">
        <w:rPr>
          <w:lang w:val="en-GB"/>
        </w:rPr>
        <w:fldChar w:fldCharType="begin" w:fldLock="1"/>
      </w:r>
      <w:r w:rsidR="007E6FB0">
        <w:rPr>
          <w:lang w:val="en-GB"/>
        </w:rPr>
        <w:instrText>ADDIN CSL_CITATION {"citationItems":[{"id":"ITEM-1","itemData":{"DOI":"10.1016/j.physbeh.2017.03.040","author":[{"dropping-particle":"","family":"Mandel","given":"Micha","non-dropping-particle":"","parse-names":false,"suffix":""}],"container-title":"Biometrics","id":"ITEM-1","issue":"2","issued":{"date-parts":[["2018"]]},"page":"481 - 487","title":"Inverse Probability Weighted Cox Regression for Doubly Truncated Data","type":"article-journal","volume":"74"},"uris":["http://www.mendeley.com/documents/?uuid=c569c29f-e527-497d-87c7-debc51aa1d70"]}],"mendeley":{"formattedCitation":"[7]","plainTextFormattedCitation":"[7]","previouslyFormattedCitation":"[6]"},"properties":{"noteIndex":0},"schema":"https://github.com/citation-style-language/schema/raw/master/csl-citation.json"}</w:instrText>
      </w:r>
      <w:r w:rsidR="004955DB" w:rsidRPr="004955DB">
        <w:rPr>
          <w:lang w:val="en-GB"/>
        </w:rPr>
        <w:fldChar w:fldCharType="separate"/>
      </w:r>
      <w:r w:rsidR="007E6FB0" w:rsidRPr="007E6FB0">
        <w:rPr>
          <w:noProof/>
          <w:lang w:val="en-GB"/>
        </w:rPr>
        <w:t>[7]</w:t>
      </w:r>
      <w:r w:rsidR="004955DB" w:rsidRPr="004955DB">
        <w:rPr>
          <w:lang w:val="en-GB"/>
        </w:rPr>
        <w:fldChar w:fldCharType="end"/>
      </w:r>
      <w:r w:rsidR="004955DB" w:rsidRPr="004955DB">
        <w:t xml:space="preserve"> </w:t>
      </w:r>
      <w:r w:rsidR="004955DB" w:rsidRPr="004955DB">
        <w:rPr>
          <w:lang w:val="en-GB"/>
        </w:rPr>
        <w:t xml:space="preserve">In that sense, we performed an IPW analysis and calculated the estimates of survival in days of life across </w:t>
      </w:r>
      <w:r w:rsidR="004955DB" w:rsidRPr="004955DB">
        <w:rPr>
          <w:lang w:val="en-GB"/>
        </w:rPr>
        <w:lastRenderedPageBreak/>
        <w:t xml:space="preserve">altitude strata </w:t>
      </w:r>
      <w:r w:rsidR="004955DB">
        <w:rPr>
          <w:lang w:val="en-GB"/>
        </w:rPr>
        <w:t>by</w:t>
      </w:r>
      <w:r w:rsidR="004955DB" w:rsidRPr="004955DB">
        <w:rPr>
          <w:lang w:val="en-GB"/>
        </w:rPr>
        <w:t xml:space="preserve"> artificial cut-offs at 15, 17, 20, and 23 days of the retrospective follow-up.</w:t>
      </w:r>
      <w:r w:rsidR="006B4977" w:rsidRPr="004955DB">
        <w:rPr>
          <w:lang w:val="en-GB"/>
        </w:rPr>
        <w:t xml:space="preserve"> </w:t>
      </w:r>
    </w:p>
    <w:p w14:paraId="79C1372E" w14:textId="2AA9C785" w:rsidR="00FE0D33" w:rsidRPr="00A04030" w:rsidRDefault="00FE0D33" w:rsidP="00576380">
      <w:pPr>
        <w:spacing w:line="480" w:lineRule="auto"/>
        <w:rPr>
          <w:lang w:val="en-GB"/>
        </w:rPr>
      </w:pPr>
      <w:r w:rsidRPr="00A04030">
        <w:rPr>
          <w:lang w:val="en-GB"/>
        </w:rPr>
        <w:t xml:space="preserve">Furtherly, to assess the effects from other contextual variables like Gini coefficient at province level and rural-urban health care, we estimated HR from mixed-effects multivariate Cox proportional models, in this way: fixed effects for next individual variables: gestational age, birth weight, Apgar scale at 5 minutes, comorbidities, and random effects for contextual variables: </w:t>
      </w:r>
      <w:r w:rsidR="00537A0E" w:rsidRPr="00537A0E">
        <w:rPr>
          <w:i/>
          <w:iCs/>
          <w:lang w:val="en-GB"/>
        </w:rPr>
        <w:t>(i)</w:t>
      </w:r>
      <w:r w:rsidRPr="00A04030">
        <w:rPr>
          <w:lang w:val="en-GB"/>
        </w:rPr>
        <w:t xml:space="preserve"> Gini coefficient at the provincial level, type of health care facility, and level of care in Model 4; </w:t>
      </w:r>
      <w:r w:rsidR="00537A0E" w:rsidRPr="00537A0E">
        <w:rPr>
          <w:i/>
          <w:iCs/>
          <w:lang w:val="en-GB"/>
        </w:rPr>
        <w:t>(ii)</w:t>
      </w:r>
      <w:r w:rsidRPr="00A04030">
        <w:rPr>
          <w:lang w:val="en-GB"/>
        </w:rPr>
        <w:t xml:space="preserve"> Gini coefficient at the provincial level in Model 5; </w:t>
      </w:r>
      <w:r w:rsidR="00537A0E" w:rsidRPr="00537A0E">
        <w:rPr>
          <w:i/>
          <w:iCs/>
          <w:lang w:val="en-GB"/>
        </w:rPr>
        <w:t>(iii)</w:t>
      </w:r>
      <w:r w:rsidRPr="00A04030">
        <w:rPr>
          <w:lang w:val="en-GB"/>
        </w:rPr>
        <w:t xml:space="preserve"> rural-urban health care facility, type of health care facility and level of care in Model 6; and rural-urban health care facility in Model 7.</w:t>
      </w:r>
    </w:p>
    <w:p w14:paraId="046EE9BC" w14:textId="2A37188B" w:rsidR="00FE0D33" w:rsidRPr="00A04030" w:rsidRDefault="00FE0D33" w:rsidP="00576380">
      <w:pPr>
        <w:spacing w:line="480" w:lineRule="auto"/>
        <w:rPr>
          <w:lang w:val="en-GB"/>
        </w:rPr>
      </w:pPr>
      <w:r w:rsidRPr="00A04030">
        <w:rPr>
          <w:lang w:val="en-GB"/>
        </w:rPr>
        <w:t>Given the small number of missing data (</w:t>
      </w:r>
      <w:r w:rsidR="00576934">
        <w:rPr>
          <w:lang w:val="en-GB"/>
        </w:rPr>
        <w:t xml:space="preserve">S2 </w:t>
      </w:r>
      <w:r w:rsidRPr="00A04030">
        <w:rPr>
          <w:lang w:val="en-GB"/>
        </w:rPr>
        <w:t xml:space="preserve">Table), we employed complete case analysis in estimating statistical associations. We considered that there were statistically significant differences when the p-value&lt;0.05. Analyses were performed with Stata 14.2 (Statistical Software Stata: Release 14.2 College Station, TX: StataCorp LP). </w:t>
      </w:r>
    </w:p>
    <w:p w14:paraId="3CA673E5" w14:textId="2E0974E4" w:rsidR="00FE0D33" w:rsidRPr="00FE0D33" w:rsidRDefault="00FE0D33" w:rsidP="00576380">
      <w:pPr>
        <w:pStyle w:val="Heading2"/>
        <w:rPr>
          <w:i w:val="0"/>
        </w:rPr>
      </w:pPr>
      <w:bookmarkStart w:id="18" w:name="_Toc65856985"/>
      <w:r w:rsidRPr="00A04030">
        <w:rPr>
          <w:i w:val="0"/>
        </w:rPr>
        <w:t>This study was part of the “Score Bebé” project and was conducted with the Research Ethics Committee in Human Beings (CEISH) of the Pontificia Universidad Católica del Ecuador approval (code number: 2018-09-EO).</w:t>
      </w:r>
      <w:bookmarkEnd w:id="18"/>
    </w:p>
    <w:p w14:paraId="3D602100" w14:textId="2EF2FA78" w:rsidR="00F96470" w:rsidRDefault="00FE0D33" w:rsidP="0023561C">
      <w:pPr>
        <w:spacing w:line="480" w:lineRule="auto"/>
        <w:jc w:val="left"/>
      </w:pPr>
      <w:r>
        <w:br w:type="page"/>
      </w:r>
    </w:p>
    <w:p w14:paraId="1FE5D52A" w14:textId="5F6C7EB8" w:rsidR="00E866D7" w:rsidRDefault="00634E4A" w:rsidP="00576380">
      <w:pPr>
        <w:pStyle w:val="Heading2"/>
      </w:pPr>
      <w:bookmarkStart w:id="19" w:name="_Toc65857003"/>
      <w:bookmarkEnd w:id="1"/>
      <w:r>
        <w:lastRenderedPageBreak/>
        <w:t>Reference</w:t>
      </w:r>
      <w:r w:rsidR="006F1972">
        <w:t>s</w:t>
      </w:r>
      <w:r>
        <w:t xml:space="preserve"> of the </w:t>
      </w:r>
      <w:bookmarkEnd w:id="19"/>
      <w:r w:rsidR="006F1972">
        <w:t>material and methods complete version.</w:t>
      </w:r>
    </w:p>
    <w:p w14:paraId="74E0E179" w14:textId="6B68761E" w:rsidR="007E6FB0" w:rsidRPr="001F3495" w:rsidRDefault="00634E4A" w:rsidP="007E6FB0">
      <w:pPr>
        <w:widowControl w:val="0"/>
        <w:autoSpaceDE w:val="0"/>
        <w:autoSpaceDN w:val="0"/>
        <w:adjustRightInd w:val="0"/>
        <w:spacing w:line="480" w:lineRule="auto"/>
        <w:ind w:left="640" w:hanging="640"/>
        <w:rPr>
          <w:noProof/>
          <w:szCs w:val="24"/>
          <w:lang w:val="fr-FR"/>
        </w:rPr>
      </w:pPr>
      <w:r>
        <w:rPr>
          <w:i/>
        </w:rPr>
        <w:fldChar w:fldCharType="begin" w:fldLock="1"/>
      </w:r>
      <w:r>
        <w:rPr>
          <w:i/>
        </w:rPr>
        <w:instrText xml:space="preserve">ADDIN Mendeley Bibliography CSL_BIBLIOGRAPHY </w:instrText>
      </w:r>
      <w:r>
        <w:rPr>
          <w:i/>
        </w:rPr>
        <w:fldChar w:fldCharType="separate"/>
      </w:r>
      <w:r w:rsidR="007E6FB0" w:rsidRPr="007E6FB0">
        <w:rPr>
          <w:noProof/>
          <w:szCs w:val="24"/>
        </w:rPr>
        <w:t xml:space="preserve">1. </w:t>
      </w:r>
      <w:r w:rsidR="007E6FB0" w:rsidRPr="007E6FB0">
        <w:rPr>
          <w:noProof/>
          <w:szCs w:val="24"/>
        </w:rPr>
        <w:tab/>
        <w:t xml:space="preserve">Bewick V, Cheek L, Ball J. Statistics review 12: Survival analysis. </w:t>
      </w:r>
      <w:r w:rsidR="007E6FB0" w:rsidRPr="001F3495">
        <w:rPr>
          <w:noProof/>
          <w:szCs w:val="24"/>
          <w:lang w:val="fr-FR"/>
        </w:rPr>
        <w:t xml:space="preserve">Crit Care. 2004;8(5):389–94. </w:t>
      </w:r>
    </w:p>
    <w:p w14:paraId="7236C4A2" w14:textId="77777777" w:rsidR="007E6FB0" w:rsidRPr="007E6FB0" w:rsidRDefault="007E6FB0" w:rsidP="007E6FB0">
      <w:pPr>
        <w:widowControl w:val="0"/>
        <w:autoSpaceDE w:val="0"/>
        <w:autoSpaceDN w:val="0"/>
        <w:adjustRightInd w:val="0"/>
        <w:spacing w:line="480" w:lineRule="auto"/>
        <w:ind w:left="640" w:hanging="640"/>
        <w:rPr>
          <w:noProof/>
          <w:szCs w:val="24"/>
        </w:rPr>
      </w:pPr>
      <w:bookmarkStart w:id="20" w:name="_Hlk72245423"/>
      <w:r w:rsidRPr="001F3495">
        <w:rPr>
          <w:noProof/>
          <w:szCs w:val="24"/>
          <w:lang w:val="fr-FR"/>
        </w:rPr>
        <w:t xml:space="preserve">2. </w:t>
      </w:r>
      <w:r w:rsidRPr="001F3495">
        <w:rPr>
          <w:noProof/>
          <w:szCs w:val="24"/>
          <w:lang w:val="fr-FR"/>
        </w:rPr>
        <w:tab/>
        <w:t xml:space="preserve">Pérez-Galarza J, Baldeón L, Franco OH, Muka T, Drexhage HA, Voortman T, et al. </w:t>
      </w:r>
      <w:r w:rsidRPr="007E6FB0">
        <w:rPr>
          <w:noProof/>
          <w:szCs w:val="24"/>
        </w:rPr>
        <w:t>Prevalence of overweight and metabolic syndrome, and associated sociodemographic factors among adult Ecuadorian populations: the ENSANUT-ECU study. J Endocrinol Invest [Internet]. 2021;44(1):63–74. Available from: https://doi.org/10.1007/s40618-020-01267-9</w:t>
      </w:r>
    </w:p>
    <w:p w14:paraId="3A22676C" w14:textId="77777777" w:rsidR="007E6FB0" w:rsidRPr="007E6FB0" w:rsidRDefault="007E6FB0" w:rsidP="007E6FB0">
      <w:pPr>
        <w:widowControl w:val="0"/>
        <w:autoSpaceDE w:val="0"/>
        <w:autoSpaceDN w:val="0"/>
        <w:adjustRightInd w:val="0"/>
        <w:spacing w:line="480" w:lineRule="auto"/>
        <w:ind w:left="640" w:hanging="640"/>
        <w:rPr>
          <w:noProof/>
          <w:szCs w:val="24"/>
        </w:rPr>
      </w:pPr>
      <w:r w:rsidRPr="007E6FB0">
        <w:rPr>
          <w:noProof/>
          <w:szCs w:val="24"/>
        </w:rPr>
        <w:t xml:space="preserve">3. </w:t>
      </w:r>
      <w:r w:rsidRPr="007E6FB0">
        <w:rPr>
          <w:noProof/>
          <w:szCs w:val="24"/>
        </w:rPr>
        <w:tab/>
        <w:t xml:space="preserve">González-Andrade F. High Altitude as a Cause of Congenital Heart Defects: A Medical Hypothesis Rediscovered in Ecuador. High Alt Med Biol. 2020;21(2):126–34. </w:t>
      </w:r>
    </w:p>
    <w:bookmarkEnd w:id="20"/>
    <w:p w14:paraId="54E67BB7" w14:textId="77777777" w:rsidR="007E6FB0" w:rsidRPr="007E6FB0" w:rsidRDefault="007E6FB0" w:rsidP="007E6FB0">
      <w:pPr>
        <w:widowControl w:val="0"/>
        <w:autoSpaceDE w:val="0"/>
        <w:autoSpaceDN w:val="0"/>
        <w:adjustRightInd w:val="0"/>
        <w:spacing w:line="480" w:lineRule="auto"/>
        <w:ind w:left="640" w:hanging="640"/>
        <w:rPr>
          <w:noProof/>
          <w:szCs w:val="24"/>
        </w:rPr>
      </w:pPr>
      <w:r w:rsidRPr="007E6FB0">
        <w:rPr>
          <w:noProof/>
          <w:szCs w:val="24"/>
        </w:rPr>
        <w:t xml:space="preserve">4. </w:t>
      </w:r>
      <w:r w:rsidRPr="007E6FB0">
        <w:rPr>
          <w:noProof/>
          <w:szCs w:val="24"/>
        </w:rPr>
        <w:tab/>
        <w:t xml:space="preserve">American College of Obstetricians. ACOG Practice bulletin no. 134: fetal growth restriction. Obstet Gynecol. 2013;121(5):1122–33. </w:t>
      </w:r>
    </w:p>
    <w:p w14:paraId="29250162" w14:textId="77777777" w:rsidR="007E6FB0" w:rsidRPr="007E6FB0" w:rsidRDefault="007E6FB0" w:rsidP="007E6FB0">
      <w:pPr>
        <w:widowControl w:val="0"/>
        <w:autoSpaceDE w:val="0"/>
        <w:autoSpaceDN w:val="0"/>
        <w:adjustRightInd w:val="0"/>
        <w:spacing w:line="480" w:lineRule="auto"/>
        <w:ind w:left="640" w:hanging="640"/>
        <w:rPr>
          <w:noProof/>
          <w:szCs w:val="24"/>
        </w:rPr>
      </w:pPr>
      <w:r w:rsidRPr="007E6FB0">
        <w:rPr>
          <w:noProof/>
          <w:szCs w:val="24"/>
        </w:rPr>
        <w:t xml:space="preserve">5. </w:t>
      </w:r>
      <w:r w:rsidRPr="007E6FB0">
        <w:rPr>
          <w:noProof/>
          <w:szCs w:val="24"/>
        </w:rPr>
        <w:tab/>
        <w:t xml:space="preserve">Villar J, Giuliani F, Bhutta ZA, Bertino E, Ohuma EO, Ismail LC, et al. Postnatal growth standards for preterm infants: the Preterm Postnatal Follow-up Study of the INTERGROWTH-21(st) Project. Lancet Glob Heal. 2015;3(11):e681-91. </w:t>
      </w:r>
    </w:p>
    <w:p w14:paraId="0BB2E7A5" w14:textId="77777777" w:rsidR="007E6FB0" w:rsidRPr="007E6FB0" w:rsidRDefault="007E6FB0" w:rsidP="007E6FB0">
      <w:pPr>
        <w:widowControl w:val="0"/>
        <w:autoSpaceDE w:val="0"/>
        <w:autoSpaceDN w:val="0"/>
        <w:adjustRightInd w:val="0"/>
        <w:spacing w:line="480" w:lineRule="auto"/>
        <w:ind w:left="640" w:hanging="640"/>
        <w:rPr>
          <w:noProof/>
          <w:szCs w:val="24"/>
        </w:rPr>
      </w:pPr>
      <w:r w:rsidRPr="007E6FB0">
        <w:rPr>
          <w:noProof/>
          <w:szCs w:val="24"/>
        </w:rPr>
        <w:t xml:space="preserve">6. </w:t>
      </w:r>
      <w:r w:rsidRPr="007E6FB0">
        <w:rPr>
          <w:noProof/>
          <w:szCs w:val="24"/>
        </w:rPr>
        <w:tab/>
        <w:t xml:space="preserve">Schoenfeld DA. Sample-Size Formula for the Proportional-Hazards Regression Model. Biometrics. 1983;39(2):499. </w:t>
      </w:r>
    </w:p>
    <w:p w14:paraId="696D4CA7" w14:textId="77777777" w:rsidR="007E6FB0" w:rsidRPr="007E6FB0" w:rsidRDefault="007E6FB0" w:rsidP="007E6FB0">
      <w:pPr>
        <w:widowControl w:val="0"/>
        <w:autoSpaceDE w:val="0"/>
        <w:autoSpaceDN w:val="0"/>
        <w:adjustRightInd w:val="0"/>
        <w:spacing w:line="480" w:lineRule="auto"/>
        <w:ind w:left="640" w:hanging="640"/>
        <w:rPr>
          <w:noProof/>
          <w:szCs w:val="24"/>
        </w:rPr>
      </w:pPr>
      <w:r w:rsidRPr="007E6FB0">
        <w:rPr>
          <w:noProof/>
          <w:szCs w:val="24"/>
        </w:rPr>
        <w:t xml:space="preserve">7. </w:t>
      </w:r>
      <w:r w:rsidRPr="007E6FB0">
        <w:rPr>
          <w:noProof/>
          <w:szCs w:val="24"/>
        </w:rPr>
        <w:tab/>
        <w:t xml:space="preserve">Mandel M. Inverse Probability Weighted Cox Regression for Doubly Truncated Data. Biometrics. 2018;74(2):481–7. </w:t>
      </w:r>
    </w:p>
    <w:p w14:paraId="212286D9" w14:textId="77777777" w:rsidR="007E6FB0" w:rsidRPr="007E6FB0" w:rsidRDefault="007E6FB0" w:rsidP="007E6FB0">
      <w:pPr>
        <w:widowControl w:val="0"/>
        <w:autoSpaceDE w:val="0"/>
        <w:autoSpaceDN w:val="0"/>
        <w:adjustRightInd w:val="0"/>
        <w:spacing w:line="480" w:lineRule="auto"/>
        <w:ind w:left="640" w:hanging="640"/>
        <w:rPr>
          <w:noProof/>
          <w:szCs w:val="24"/>
        </w:rPr>
      </w:pPr>
      <w:r w:rsidRPr="007E6FB0">
        <w:rPr>
          <w:noProof/>
          <w:szCs w:val="24"/>
        </w:rPr>
        <w:t xml:space="preserve">8. </w:t>
      </w:r>
      <w:r w:rsidRPr="007E6FB0">
        <w:rPr>
          <w:noProof/>
          <w:szCs w:val="24"/>
        </w:rPr>
        <w:tab/>
        <w:t xml:space="preserve">Conner SC, Sullivan LM, Benjamin EJ, LaValley MP, Galea S, Trinquart L. Adjusted restricted mean survival times in observational studies. Stat Med. 2019;38(20):3832–60. </w:t>
      </w:r>
    </w:p>
    <w:p w14:paraId="449C070D" w14:textId="77777777" w:rsidR="007E6FB0" w:rsidRPr="007E6FB0" w:rsidRDefault="007E6FB0" w:rsidP="007E6FB0">
      <w:pPr>
        <w:widowControl w:val="0"/>
        <w:autoSpaceDE w:val="0"/>
        <w:autoSpaceDN w:val="0"/>
        <w:adjustRightInd w:val="0"/>
        <w:spacing w:line="480" w:lineRule="auto"/>
        <w:ind w:left="640" w:hanging="640"/>
        <w:rPr>
          <w:noProof/>
        </w:rPr>
      </w:pPr>
      <w:r w:rsidRPr="007E6FB0">
        <w:rPr>
          <w:noProof/>
          <w:szCs w:val="24"/>
        </w:rPr>
        <w:t xml:space="preserve">9. </w:t>
      </w:r>
      <w:r w:rsidRPr="007E6FB0">
        <w:rPr>
          <w:noProof/>
          <w:szCs w:val="24"/>
        </w:rPr>
        <w:tab/>
        <w:t xml:space="preserve">Lagakos SW, Barraj LM, Gruttola V De. Nonparametric analysis of truncated </w:t>
      </w:r>
      <w:r w:rsidRPr="007E6FB0">
        <w:rPr>
          <w:noProof/>
          <w:szCs w:val="24"/>
        </w:rPr>
        <w:lastRenderedPageBreak/>
        <w:t xml:space="preserve">survival data, with application to aids. Biometrika. 1988;75(3):515–23. </w:t>
      </w:r>
    </w:p>
    <w:p w14:paraId="6C9745FE" w14:textId="77777777" w:rsidR="00634E4A" w:rsidRPr="00E866D7" w:rsidRDefault="00634E4A" w:rsidP="00576380">
      <w:pPr>
        <w:tabs>
          <w:tab w:val="left" w:pos="4820"/>
        </w:tabs>
        <w:spacing w:line="480" w:lineRule="auto"/>
        <w:jc w:val="left"/>
        <w:rPr>
          <w:i/>
        </w:rPr>
      </w:pPr>
      <w:r>
        <w:rPr>
          <w:i/>
        </w:rPr>
        <w:fldChar w:fldCharType="end"/>
      </w:r>
    </w:p>
    <w:p w14:paraId="026521A1" w14:textId="77777777" w:rsidR="00E866D7" w:rsidRPr="00E866D7" w:rsidRDefault="00E866D7" w:rsidP="00576380">
      <w:pPr>
        <w:tabs>
          <w:tab w:val="left" w:pos="4820"/>
        </w:tabs>
        <w:spacing w:line="480" w:lineRule="auto"/>
        <w:jc w:val="left"/>
        <w:rPr>
          <w:i/>
        </w:rPr>
      </w:pPr>
    </w:p>
    <w:sectPr w:rsidR="00E866D7" w:rsidRPr="00E866D7" w:rsidSect="00C12691">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709A" w14:textId="77777777" w:rsidR="00517EC4" w:rsidRDefault="00517EC4" w:rsidP="0007200D">
      <w:r>
        <w:separator/>
      </w:r>
    </w:p>
  </w:endnote>
  <w:endnote w:type="continuationSeparator" w:id="0">
    <w:p w14:paraId="7953F492" w14:textId="77777777" w:rsidR="00517EC4" w:rsidRDefault="00517EC4" w:rsidP="0007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484620"/>
      <w:docPartObj>
        <w:docPartGallery w:val="Page Numbers (Bottom of Page)"/>
        <w:docPartUnique/>
      </w:docPartObj>
    </w:sdtPr>
    <w:sdtEndPr/>
    <w:sdtContent>
      <w:p w14:paraId="1029CB92" w14:textId="7B8A8A69" w:rsidR="003C7A00" w:rsidRDefault="003C7A00">
        <w:pPr>
          <w:pStyle w:val="Footer"/>
          <w:jc w:val="right"/>
        </w:pPr>
        <w:r>
          <w:fldChar w:fldCharType="begin"/>
        </w:r>
        <w:r>
          <w:instrText>PAGE   \* MERGEFORMAT</w:instrText>
        </w:r>
        <w:r>
          <w:fldChar w:fldCharType="separate"/>
        </w:r>
        <w:r w:rsidRPr="007F43F4">
          <w:rPr>
            <w:noProof/>
            <w:lang w:val="es-ES"/>
          </w:rPr>
          <w:t>19</w:t>
        </w:r>
        <w:r>
          <w:fldChar w:fldCharType="end"/>
        </w:r>
      </w:p>
    </w:sdtContent>
  </w:sdt>
  <w:p w14:paraId="2E735EAE" w14:textId="77777777" w:rsidR="003C7A00" w:rsidRDefault="003C7A00" w:rsidP="0007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B220" w14:textId="77777777" w:rsidR="00517EC4" w:rsidRDefault="00517EC4" w:rsidP="0007200D">
      <w:r>
        <w:separator/>
      </w:r>
    </w:p>
  </w:footnote>
  <w:footnote w:type="continuationSeparator" w:id="0">
    <w:p w14:paraId="7B91590D" w14:textId="77777777" w:rsidR="00517EC4" w:rsidRDefault="00517EC4" w:rsidP="0007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83E43"/>
    <w:multiLevelType w:val="hybridMultilevel"/>
    <w:tmpl w:val="93769EF4"/>
    <w:lvl w:ilvl="0" w:tplc="FFFFFFFF">
      <w:start w:val="1"/>
      <w:numFmt w:val="bullet"/>
      <w:pStyle w:val="Index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4C5FD8"/>
    <w:multiLevelType w:val="multilevel"/>
    <w:tmpl w:val="4C781C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5957A59"/>
    <w:multiLevelType w:val="hybridMultilevel"/>
    <w:tmpl w:val="17FEA9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6D86C3B"/>
    <w:multiLevelType w:val="multilevel"/>
    <w:tmpl w:val="4B94E99C"/>
    <w:name w:val="WW8Num2"/>
    <w:lvl w:ilvl="0">
      <w:numFmt w:val="decimal"/>
      <w:lvlText w:val="%1"/>
      <w:lvlJc w:val="left"/>
      <w:pPr>
        <w:tabs>
          <w:tab w:val="num" w:pos="360"/>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719E186F"/>
    <w:multiLevelType w:val="multilevel"/>
    <w:tmpl w:val="A6A8106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74F12597"/>
    <w:multiLevelType w:val="hybridMultilevel"/>
    <w:tmpl w:val="2A5A0E7A"/>
    <w:lvl w:ilvl="0" w:tplc="B2CA8A1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yNLM0sjQyMzQyMTNR0lEKTi0uzszPAykwrAUAQwdSvSwAAAA="/>
  </w:docVars>
  <w:rsids>
    <w:rsidRoot w:val="007A0F84"/>
    <w:rsid w:val="0000339B"/>
    <w:rsid w:val="000039D0"/>
    <w:rsid w:val="00013FD6"/>
    <w:rsid w:val="00014B80"/>
    <w:rsid w:val="00014FBE"/>
    <w:rsid w:val="00026DD9"/>
    <w:rsid w:val="00030AF6"/>
    <w:rsid w:val="00030F7E"/>
    <w:rsid w:val="00032ABF"/>
    <w:rsid w:val="00032F9E"/>
    <w:rsid w:val="00033955"/>
    <w:rsid w:val="00036B54"/>
    <w:rsid w:val="000400D3"/>
    <w:rsid w:val="00040612"/>
    <w:rsid w:val="00043AC9"/>
    <w:rsid w:val="00045A02"/>
    <w:rsid w:val="0004644E"/>
    <w:rsid w:val="00050184"/>
    <w:rsid w:val="00052DBB"/>
    <w:rsid w:val="00053EAB"/>
    <w:rsid w:val="00055745"/>
    <w:rsid w:val="000560CF"/>
    <w:rsid w:val="00056EAA"/>
    <w:rsid w:val="00057970"/>
    <w:rsid w:val="00057ADA"/>
    <w:rsid w:val="0006192E"/>
    <w:rsid w:val="000657B3"/>
    <w:rsid w:val="00066120"/>
    <w:rsid w:val="0007200D"/>
    <w:rsid w:val="00087C8A"/>
    <w:rsid w:val="00093005"/>
    <w:rsid w:val="000A0D1E"/>
    <w:rsid w:val="000A16AA"/>
    <w:rsid w:val="000A737D"/>
    <w:rsid w:val="000B0D43"/>
    <w:rsid w:val="000B21C8"/>
    <w:rsid w:val="000B321E"/>
    <w:rsid w:val="000B5C23"/>
    <w:rsid w:val="000B7072"/>
    <w:rsid w:val="000C3531"/>
    <w:rsid w:val="000C5DD1"/>
    <w:rsid w:val="000C7233"/>
    <w:rsid w:val="000C7DB0"/>
    <w:rsid w:val="000D3171"/>
    <w:rsid w:val="000D6BBB"/>
    <w:rsid w:val="000E228C"/>
    <w:rsid w:val="000E676C"/>
    <w:rsid w:val="000E6862"/>
    <w:rsid w:val="000E73F0"/>
    <w:rsid w:val="00113FEB"/>
    <w:rsid w:val="00114166"/>
    <w:rsid w:val="00117338"/>
    <w:rsid w:val="00124DEA"/>
    <w:rsid w:val="001264D2"/>
    <w:rsid w:val="001273A9"/>
    <w:rsid w:val="00130AA2"/>
    <w:rsid w:val="00131154"/>
    <w:rsid w:val="0013239C"/>
    <w:rsid w:val="001336AD"/>
    <w:rsid w:val="00135B7C"/>
    <w:rsid w:val="0013727C"/>
    <w:rsid w:val="00146D01"/>
    <w:rsid w:val="00147E93"/>
    <w:rsid w:val="00151DAE"/>
    <w:rsid w:val="00152888"/>
    <w:rsid w:val="001545A5"/>
    <w:rsid w:val="00160BB0"/>
    <w:rsid w:val="001779B8"/>
    <w:rsid w:val="0018003B"/>
    <w:rsid w:val="00180A4F"/>
    <w:rsid w:val="00181053"/>
    <w:rsid w:val="0018307C"/>
    <w:rsid w:val="00184C27"/>
    <w:rsid w:val="00187D67"/>
    <w:rsid w:val="00190075"/>
    <w:rsid w:val="0019461F"/>
    <w:rsid w:val="001948BA"/>
    <w:rsid w:val="001958DA"/>
    <w:rsid w:val="00196B2A"/>
    <w:rsid w:val="001A1428"/>
    <w:rsid w:val="001A5A5A"/>
    <w:rsid w:val="001A73C0"/>
    <w:rsid w:val="001B0022"/>
    <w:rsid w:val="001B0693"/>
    <w:rsid w:val="001B0729"/>
    <w:rsid w:val="001B2304"/>
    <w:rsid w:val="001B379B"/>
    <w:rsid w:val="001B4BBB"/>
    <w:rsid w:val="001B616D"/>
    <w:rsid w:val="001B7F74"/>
    <w:rsid w:val="001D0DD1"/>
    <w:rsid w:val="001D0EE8"/>
    <w:rsid w:val="001D1386"/>
    <w:rsid w:val="001D30F7"/>
    <w:rsid w:val="001D53F0"/>
    <w:rsid w:val="001D5543"/>
    <w:rsid w:val="001D5CC4"/>
    <w:rsid w:val="001D7C8A"/>
    <w:rsid w:val="001E7CA2"/>
    <w:rsid w:val="001F1CAA"/>
    <w:rsid w:val="001F3495"/>
    <w:rsid w:val="001F3C24"/>
    <w:rsid w:val="001F747E"/>
    <w:rsid w:val="00200359"/>
    <w:rsid w:val="002016CD"/>
    <w:rsid w:val="00204E46"/>
    <w:rsid w:val="002101EB"/>
    <w:rsid w:val="00212B75"/>
    <w:rsid w:val="00213831"/>
    <w:rsid w:val="002143DD"/>
    <w:rsid w:val="002201E8"/>
    <w:rsid w:val="00227906"/>
    <w:rsid w:val="00232667"/>
    <w:rsid w:val="002330BB"/>
    <w:rsid w:val="00234D04"/>
    <w:rsid w:val="0023561C"/>
    <w:rsid w:val="00236289"/>
    <w:rsid w:val="002425C4"/>
    <w:rsid w:val="00244191"/>
    <w:rsid w:val="00252B9F"/>
    <w:rsid w:val="0025345B"/>
    <w:rsid w:val="0025384E"/>
    <w:rsid w:val="00260A15"/>
    <w:rsid w:val="00260F8E"/>
    <w:rsid w:val="0026201C"/>
    <w:rsid w:val="00266529"/>
    <w:rsid w:val="00271BD9"/>
    <w:rsid w:val="00272260"/>
    <w:rsid w:val="0027249E"/>
    <w:rsid w:val="0028279F"/>
    <w:rsid w:val="00284D47"/>
    <w:rsid w:val="00285710"/>
    <w:rsid w:val="002955EC"/>
    <w:rsid w:val="002A1312"/>
    <w:rsid w:val="002A1BFD"/>
    <w:rsid w:val="002A5508"/>
    <w:rsid w:val="002B55E0"/>
    <w:rsid w:val="002C4005"/>
    <w:rsid w:val="002C49CF"/>
    <w:rsid w:val="002C4FF7"/>
    <w:rsid w:val="002C7A4D"/>
    <w:rsid w:val="002D34E2"/>
    <w:rsid w:val="002D4AD6"/>
    <w:rsid w:val="002D60DD"/>
    <w:rsid w:val="002D6B3F"/>
    <w:rsid w:val="002E04ED"/>
    <w:rsid w:val="002E1245"/>
    <w:rsid w:val="002E13B8"/>
    <w:rsid w:val="002E20DD"/>
    <w:rsid w:val="002E263D"/>
    <w:rsid w:val="002E37CF"/>
    <w:rsid w:val="002E426A"/>
    <w:rsid w:val="002E46F1"/>
    <w:rsid w:val="002E4C65"/>
    <w:rsid w:val="002E63E7"/>
    <w:rsid w:val="002E6892"/>
    <w:rsid w:val="002E710A"/>
    <w:rsid w:val="002F0943"/>
    <w:rsid w:val="002F4AEA"/>
    <w:rsid w:val="002F4F6D"/>
    <w:rsid w:val="002F5E82"/>
    <w:rsid w:val="002F7088"/>
    <w:rsid w:val="002F73A0"/>
    <w:rsid w:val="00300690"/>
    <w:rsid w:val="00301254"/>
    <w:rsid w:val="003014B3"/>
    <w:rsid w:val="0030274E"/>
    <w:rsid w:val="003039DE"/>
    <w:rsid w:val="00307C39"/>
    <w:rsid w:val="00311377"/>
    <w:rsid w:val="00311ACF"/>
    <w:rsid w:val="00316026"/>
    <w:rsid w:val="00316CCC"/>
    <w:rsid w:val="003233F9"/>
    <w:rsid w:val="003244E7"/>
    <w:rsid w:val="003250F9"/>
    <w:rsid w:val="0032616F"/>
    <w:rsid w:val="0032669E"/>
    <w:rsid w:val="0032691F"/>
    <w:rsid w:val="00327BE9"/>
    <w:rsid w:val="003303BE"/>
    <w:rsid w:val="0033052C"/>
    <w:rsid w:val="00332479"/>
    <w:rsid w:val="00332A41"/>
    <w:rsid w:val="0033424C"/>
    <w:rsid w:val="00334B03"/>
    <w:rsid w:val="00335674"/>
    <w:rsid w:val="003413F0"/>
    <w:rsid w:val="00343F5F"/>
    <w:rsid w:val="00344427"/>
    <w:rsid w:val="00344543"/>
    <w:rsid w:val="00345ED4"/>
    <w:rsid w:val="003466F6"/>
    <w:rsid w:val="003624E8"/>
    <w:rsid w:val="00364447"/>
    <w:rsid w:val="00367720"/>
    <w:rsid w:val="00371767"/>
    <w:rsid w:val="0037197F"/>
    <w:rsid w:val="00371D79"/>
    <w:rsid w:val="00387162"/>
    <w:rsid w:val="003905BD"/>
    <w:rsid w:val="00392657"/>
    <w:rsid w:val="00393B21"/>
    <w:rsid w:val="00394D80"/>
    <w:rsid w:val="00395E48"/>
    <w:rsid w:val="003B0D6E"/>
    <w:rsid w:val="003B4A7E"/>
    <w:rsid w:val="003B698C"/>
    <w:rsid w:val="003B7C9B"/>
    <w:rsid w:val="003C7A00"/>
    <w:rsid w:val="003D18D8"/>
    <w:rsid w:val="003D18E9"/>
    <w:rsid w:val="003D2A69"/>
    <w:rsid w:val="003D4C73"/>
    <w:rsid w:val="003D63B8"/>
    <w:rsid w:val="003D6EFC"/>
    <w:rsid w:val="003D6FE6"/>
    <w:rsid w:val="003D7FF1"/>
    <w:rsid w:val="003E4376"/>
    <w:rsid w:val="003F070F"/>
    <w:rsid w:val="003F3F84"/>
    <w:rsid w:val="003F4C59"/>
    <w:rsid w:val="003F5027"/>
    <w:rsid w:val="004021D3"/>
    <w:rsid w:val="004063CE"/>
    <w:rsid w:val="00406873"/>
    <w:rsid w:val="00411F2B"/>
    <w:rsid w:val="00420BFB"/>
    <w:rsid w:val="00434B96"/>
    <w:rsid w:val="004361E8"/>
    <w:rsid w:val="00441102"/>
    <w:rsid w:val="00442E31"/>
    <w:rsid w:val="00442F5E"/>
    <w:rsid w:val="004444B5"/>
    <w:rsid w:val="00444E63"/>
    <w:rsid w:val="00446C62"/>
    <w:rsid w:val="00446DEB"/>
    <w:rsid w:val="00450A5E"/>
    <w:rsid w:val="00452488"/>
    <w:rsid w:val="00460F79"/>
    <w:rsid w:val="00477126"/>
    <w:rsid w:val="00477CA6"/>
    <w:rsid w:val="00483A6A"/>
    <w:rsid w:val="004955DB"/>
    <w:rsid w:val="004A152E"/>
    <w:rsid w:val="004A329E"/>
    <w:rsid w:val="004A515D"/>
    <w:rsid w:val="004A56E7"/>
    <w:rsid w:val="004A70F9"/>
    <w:rsid w:val="004A75B1"/>
    <w:rsid w:val="004A7B3F"/>
    <w:rsid w:val="004B2246"/>
    <w:rsid w:val="004B2C7B"/>
    <w:rsid w:val="004B7DA9"/>
    <w:rsid w:val="004C1564"/>
    <w:rsid w:val="004C3B7D"/>
    <w:rsid w:val="004D2BD0"/>
    <w:rsid w:val="004D633C"/>
    <w:rsid w:val="004D65E4"/>
    <w:rsid w:val="004D6A36"/>
    <w:rsid w:val="004D75BC"/>
    <w:rsid w:val="004D773F"/>
    <w:rsid w:val="004E0DA0"/>
    <w:rsid w:val="004E48F4"/>
    <w:rsid w:val="004E636D"/>
    <w:rsid w:val="004F01D7"/>
    <w:rsid w:val="004F2639"/>
    <w:rsid w:val="004F3E0E"/>
    <w:rsid w:val="004F5D37"/>
    <w:rsid w:val="004F5F70"/>
    <w:rsid w:val="005000F5"/>
    <w:rsid w:val="00504375"/>
    <w:rsid w:val="005065DA"/>
    <w:rsid w:val="00512735"/>
    <w:rsid w:val="00512C06"/>
    <w:rsid w:val="00513244"/>
    <w:rsid w:val="00517EC4"/>
    <w:rsid w:val="0052059E"/>
    <w:rsid w:val="0052195C"/>
    <w:rsid w:val="00527B8E"/>
    <w:rsid w:val="005334D6"/>
    <w:rsid w:val="0053419F"/>
    <w:rsid w:val="00534BBB"/>
    <w:rsid w:val="0053533F"/>
    <w:rsid w:val="00536E18"/>
    <w:rsid w:val="0053704F"/>
    <w:rsid w:val="00537A0E"/>
    <w:rsid w:val="00540086"/>
    <w:rsid w:val="005419E8"/>
    <w:rsid w:val="005426F5"/>
    <w:rsid w:val="00542A4D"/>
    <w:rsid w:val="00542EEB"/>
    <w:rsid w:val="005505C1"/>
    <w:rsid w:val="00550A17"/>
    <w:rsid w:val="00550E74"/>
    <w:rsid w:val="00551AAF"/>
    <w:rsid w:val="00557104"/>
    <w:rsid w:val="00563C24"/>
    <w:rsid w:val="005658FA"/>
    <w:rsid w:val="00566B57"/>
    <w:rsid w:val="00570562"/>
    <w:rsid w:val="0057079C"/>
    <w:rsid w:val="00572013"/>
    <w:rsid w:val="0057257B"/>
    <w:rsid w:val="00575384"/>
    <w:rsid w:val="00576380"/>
    <w:rsid w:val="00576934"/>
    <w:rsid w:val="00580BD4"/>
    <w:rsid w:val="00582BC3"/>
    <w:rsid w:val="00582C72"/>
    <w:rsid w:val="00594699"/>
    <w:rsid w:val="005953EF"/>
    <w:rsid w:val="005960BD"/>
    <w:rsid w:val="00596F9A"/>
    <w:rsid w:val="005A253F"/>
    <w:rsid w:val="005A2C5D"/>
    <w:rsid w:val="005A3E1F"/>
    <w:rsid w:val="005A4C3E"/>
    <w:rsid w:val="005A5123"/>
    <w:rsid w:val="005A5B2B"/>
    <w:rsid w:val="005A5E4E"/>
    <w:rsid w:val="005A5EDB"/>
    <w:rsid w:val="005B0B69"/>
    <w:rsid w:val="005B37BE"/>
    <w:rsid w:val="005B3FAB"/>
    <w:rsid w:val="005B72B6"/>
    <w:rsid w:val="005B7C91"/>
    <w:rsid w:val="005B7C93"/>
    <w:rsid w:val="005C39B2"/>
    <w:rsid w:val="005C3EE6"/>
    <w:rsid w:val="005C475E"/>
    <w:rsid w:val="005C4ABD"/>
    <w:rsid w:val="005C569A"/>
    <w:rsid w:val="005D1BA4"/>
    <w:rsid w:val="005D1D74"/>
    <w:rsid w:val="005E11D9"/>
    <w:rsid w:val="005E180A"/>
    <w:rsid w:val="005E2041"/>
    <w:rsid w:val="005E2C94"/>
    <w:rsid w:val="005E59E0"/>
    <w:rsid w:val="005F1A9E"/>
    <w:rsid w:val="005F229E"/>
    <w:rsid w:val="005F3368"/>
    <w:rsid w:val="005F4961"/>
    <w:rsid w:val="005F4F53"/>
    <w:rsid w:val="006076FF"/>
    <w:rsid w:val="006160D9"/>
    <w:rsid w:val="0062275F"/>
    <w:rsid w:val="0062562D"/>
    <w:rsid w:val="00633925"/>
    <w:rsid w:val="00634B7C"/>
    <w:rsid w:val="00634E4A"/>
    <w:rsid w:val="006356A6"/>
    <w:rsid w:val="00637118"/>
    <w:rsid w:val="00640A53"/>
    <w:rsid w:val="006433AC"/>
    <w:rsid w:val="0064510C"/>
    <w:rsid w:val="00645FBB"/>
    <w:rsid w:val="00647150"/>
    <w:rsid w:val="00650B5F"/>
    <w:rsid w:val="0065398C"/>
    <w:rsid w:val="00654851"/>
    <w:rsid w:val="00655945"/>
    <w:rsid w:val="00656A49"/>
    <w:rsid w:val="00660F99"/>
    <w:rsid w:val="00665F61"/>
    <w:rsid w:val="00672982"/>
    <w:rsid w:val="00675E80"/>
    <w:rsid w:val="006772AE"/>
    <w:rsid w:val="006802F0"/>
    <w:rsid w:val="00684019"/>
    <w:rsid w:val="00691489"/>
    <w:rsid w:val="00694AE0"/>
    <w:rsid w:val="006958F2"/>
    <w:rsid w:val="006A160A"/>
    <w:rsid w:val="006A2C12"/>
    <w:rsid w:val="006A5042"/>
    <w:rsid w:val="006B1C02"/>
    <w:rsid w:val="006B4977"/>
    <w:rsid w:val="006B5CE2"/>
    <w:rsid w:val="006C18E9"/>
    <w:rsid w:val="006C34A6"/>
    <w:rsid w:val="006C5E18"/>
    <w:rsid w:val="006C6AD0"/>
    <w:rsid w:val="006D0774"/>
    <w:rsid w:val="006D1EAC"/>
    <w:rsid w:val="006D401D"/>
    <w:rsid w:val="006D462E"/>
    <w:rsid w:val="006D4A4A"/>
    <w:rsid w:val="006D5A4B"/>
    <w:rsid w:val="006D7B9E"/>
    <w:rsid w:val="006D7FEE"/>
    <w:rsid w:val="006E10CE"/>
    <w:rsid w:val="006E71DA"/>
    <w:rsid w:val="006F1972"/>
    <w:rsid w:val="006F3024"/>
    <w:rsid w:val="006F58E2"/>
    <w:rsid w:val="0070073D"/>
    <w:rsid w:val="00701017"/>
    <w:rsid w:val="007030E2"/>
    <w:rsid w:val="007032F2"/>
    <w:rsid w:val="00712950"/>
    <w:rsid w:val="00712AA1"/>
    <w:rsid w:val="007173C8"/>
    <w:rsid w:val="00727ED4"/>
    <w:rsid w:val="00733033"/>
    <w:rsid w:val="00736A41"/>
    <w:rsid w:val="00740951"/>
    <w:rsid w:val="0074582F"/>
    <w:rsid w:val="00747AF3"/>
    <w:rsid w:val="00750C85"/>
    <w:rsid w:val="0075318B"/>
    <w:rsid w:val="00757839"/>
    <w:rsid w:val="00760162"/>
    <w:rsid w:val="0076279B"/>
    <w:rsid w:val="007658D9"/>
    <w:rsid w:val="00770049"/>
    <w:rsid w:val="00770550"/>
    <w:rsid w:val="0077070E"/>
    <w:rsid w:val="00773387"/>
    <w:rsid w:val="007735ED"/>
    <w:rsid w:val="007746ED"/>
    <w:rsid w:val="0077489B"/>
    <w:rsid w:val="00774E9E"/>
    <w:rsid w:val="00793EE1"/>
    <w:rsid w:val="0079694A"/>
    <w:rsid w:val="007979FB"/>
    <w:rsid w:val="007A0F84"/>
    <w:rsid w:val="007A20EA"/>
    <w:rsid w:val="007A5ACE"/>
    <w:rsid w:val="007A6D44"/>
    <w:rsid w:val="007A7EA8"/>
    <w:rsid w:val="007B1072"/>
    <w:rsid w:val="007B140D"/>
    <w:rsid w:val="007B27F3"/>
    <w:rsid w:val="007B4350"/>
    <w:rsid w:val="007B4870"/>
    <w:rsid w:val="007B56A5"/>
    <w:rsid w:val="007B7064"/>
    <w:rsid w:val="007C238A"/>
    <w:rsid w:val="007C3A39"/>
    <w:rsid w:val="007C4446"/>
    <w:rsid w:val="007C5614"/>
    <w:rsid w:val="007C6B96"/>
    <w:rsid w:val="007D127A"/>
    <w:rsid w:val="007D57DF"/>
    <w:rsid w:val="007D663A"/>
    <w:rsid w:val="007D78DD"/>
    <w:rsid w:val="007E2BEA"/>
    <w:rsid w:val="007E32B0"/>
    <w:rsid w:val="007E44AD"/>
    <w:rsid w:val="007E6FB0"/>
    <w:rsid w:val="007F43F4"/>
    <w:rsid w:val="007F4B8F"/>
    <w:rsid w:val="007F4E52"/>
    <w:rsid w:val="007F7A3F"/>
    <w:rsid w:val="00800836"/>
    <w:rsid w:val="00801010"/>
    <w:rsid w:val="00802577"/>
    <w:rsid w:val="008031D2"/>
    <w:rsid w:val="00805E27"/>
    <w:rsid w:val="00813F2C"/>
    <w:rsid w:val="0081551E"/>
    <w:rsid w:val="00816BA8"/>
    <w:rsid w:val="00816D6A"/>
    <w:rsid w:val="00820384"/>
    <w:rsid w:val="008205B4"/>
    <w:rsid w:val="00820C10"/>
    <w:rsid w:val="00821747"/>
    <w:rsid w:val="0082323D"/>
    <w:rsid w:val="008234E2"/>
    <w:rsid w:val="00823C5F"/>
    <w:rsid w:val="008258F4"/>
    <w:rsid w:val="008270A8"/>
    <w:rsid w:val="00830EF2"/>
    <w:rsid w:val="00830F1F"/>
    <w:rsid w:val="00835B9C"/>
    <w:rsid w:val="008376D3"/>
    <w:rsid w:val="00837F12"/>
    <w:rsid w:val="008447A9"/>
    <w:rsid w:val="008468AA"/>
    <w:rsid w:val="00846D1A"/>
    <w:rsid w:val="00847DB2"/>
    <w:rsid w:val="00852172"/>
    <w:rsid w:val="00855DB2"/>
    <w:rsid w:val="00862EDB"/>
    <w:rsid w:val="00865426"/>
    <w:rsid w:val="0087077D"/>
    <w:rsid w:val="008801FE"/>
    <w:rsid w:val="00881E0B"/>
    <w:rsid w:val="0088307A"/>
    <w:rsid w:val="0088741D"/>
    <w:rsid w:val="00891999"/>
    <w:rsid w:val="00892B8D"/>
    <w:rsid w:val="00892EC4"/>
    <w:rsid w:val="00896C84"/>
    <w:rsid w:val="008976C8"/>
    <w:rsid w:val="0089789C"/>
    <w:rsid w:val="008A3223"/>
    <w:rsid w:val="008A43E4"/>
    <w:rsid w:val="008A78E1"/>
    <w:rsid w:val="008A7CB9"/>
    <w:rsid w:val="008B20D2"/>
    <w:rsid w:val="008B2C5A"/>
    <w:rsid w:val="008B6265"/>
    <w:rsid w:val="008B744B"/>
    <w:rsid w:val="008B755E"/>
    <w:rsid w:val="008B773F"/>
    <w:rsid w:val="008C1306"/>
    <w:rsid w:val="008C174D"/>
    <w:rsid w:val="008C1D2D"/>
    <w:rsid w:val="008D2777"/>
    <w:rsid w:val="008D3297"/>
    <w:rsid w:val="008D421E"/>
    <w:rsid w:val="008D4CA8"/>
    <w:rsid w:val="008D6D47"/>
    <w:rsid w:val="008E0BE5"/>
    <w:rsid w:val="008E2E39"/>
    <w:rsid w:val="008E56AA"/>
    <w:rsid w:val="008E77CF"/>
    <w:rsid w:val="008F1F56"/>
    <w:rsid w:val="008F3240"/>
    <w:rsid w:val="008F4E43"/>
    <w:rsid w:val="00903CBC"/>
    <w:rsid w:val="00905033"/>
    <w:rsid w:val="00905BE5"/>
    <w:rsid w:val="00907CB0"/>
    <w:rsid w:val="009146EF"/>
    <w:rsid w:val="009152F2"/>
    <w:rsid w:val="00917C22"/>
    <w:rsid w:val="0092118C"/>
    <w:rsid w:val="00921556"/>
    <w:rsid w:val="00923402"/>
    <w:rsid w:val="00926699"/>
    <w:rsid w:val="009303A2"/>
    <w:rsid w:val="009308CB"/>
    <w:rsid w:val="00930F50"/>
    <w:rsid w:val="00932208"/>
    <w:rsid w:val="00935250"/>
    <w:rsid w:val="00941B62"/>
    <w:rsid w:val="00942029"/>
    <w:rsid w:val="00942A4C"/>
    <w:rsid w:val="00942DB8"/>
    <w:rsid w:val="00943D31"/>
    <w:rsid w:val="00947F24"/>
    <w:rsid w:val="009523FA"/>
    <w:rsid w:val="009524B1"/>
    <w:rsid w:val="009538EF"/>
    <w:rsid w:val="00962D89"/>
    <w:rsid w:val="00972246"/>
    <w:rsid w:val="009737D1"/>
    <w:rsid w:val="009755D5"/>
    <w:rsid w:val="009772B3"/>
    <w:rsid w:val="00977F12"/>
    <w:rsid w:val="009837B3"/>
    <w:rsid w:val="00985685"/>
    <w:rsid w:val="009857E6"/>
    <w:rsid w:val="00985D7B"/>
    <w:rsid w:val="00991D18"/>
    <w:rsid w:val="009957C9"/>
    <w:rsid w:val="009961BB"/>
    <w:rsid w:val="00997465"/>
    <w:rsid w:val="009A029B"/>
    <w:rsid w:val="009A3411"/>
    <w:rsid w:val="009B218F"/>
    <w:rsid w:val="009C2D9F"/>
    <w:rsid w:val="009D275D"/>
    <w:rsid w:val="009D2908"/>
    <w:rsid w:val="009D2A6F"/>
    <w:rsid w:val="009D2AF9"/>
    <w:rsid w:val="009D3EA5"/>
    <w:rsid w:val="009E117A"/>
    <w:rsid w:val="009E3F02"/>
    <w:rsid w:val="009E4E58"/>
    <w:rsid w:val="009E781A"/>
    <w:rsid w:val="009F04C5"/>
    <w:rsid w:val="009F052D"/>
    <w:rsid w:val="009F2290"/>
    <w:rsid w:val="009F2C0B"/>
    <w:rsid w:val="009F7493"/>
    <w:rsid w:val="00A0368F"/>
    <w:rsid w:val="00A03E1D"/>
    <w:rsid w:val="00A04030"/>
    <w:rsid w:val="00A0577F"/>
    <w:rsid w:val="00A07955"/>
    <w:rsid w:val="00A10853"/>
    <w:rsid w:val="00A13C63"/>
    <w:rsid w:val="00A14A64"/>
    <w:rsid w:val="00A210ED"/>
    <w:rsid w:val="00A212E3"/>
    <w:rsid w:val="00A21A98"/>
    <w:rsid w:val="00A31D8E"/>
    <w:rsid w:val="00A3627E"/>
    <w:rsid w:val="00A3676D"/>
    <w:rsid w:val="00A40323"/>
    <w:rsid w:val="00A45A05"/>
    <w:rsid w:val="00A46850"/>
    <w:rsid w:val="00A55766"/>
    <w:rsid w:val="00A60EB8"/>
    <w:rsid w:val="00A61326"/>
    <w:rsid w:val="00A62E9E"/>
    <w:rsid w:val="00A659A2"/>
    <w:rsid w:val="00A662D2"/>
    <w:rsid w:val="00A70C3E"/>
    <w:rsid w:val="00A72568"/>
    <w:rsid w:val="00A73350"/>
    <w:rsid w:val="00A8082D"/>
    <w:rsid w:val="00A811B2"/>
    <w:rsid w:val="00A83B20"/>
    <w:rsid w:val="00A9365C"/>
    <w:rsid w:val="00AA3001"/>
    <w:rsid w:val="00AA3C45"/>
    <w:rsid w:val="00AA67DB"/>
    <w:rsid w:val="00AA6B6C"/>
    <w:rsid w:val="00AB18BB"/>
    <w:rsid w:val="00AB76A2"/>
    <w:rsid w:val="00AC3059"/>
    <w:rsid w:val="00AC3CEF"/>
    <w:rsid w:val="00AD1E22"/>
    <w:rsid w:val="00AD4A01"/>
    <w:rsid w:val="00AD4BF9"/>
    <w:rsid w:val="00AD607F"/>
    <w:rsid w:val="00AD6BAA"/>
    <w:rsid w:val="00AD7BB7"/>
    <w:rsid w:val="00AE002C"/>
    <w:rsid w:val="00AE2B85"/>
    <w:rsid w:val="00AE2C11"/>
    <w:rsid w:val="00AE3953"/>
    <w:rsid w:val="00AE424F"/>
    <w:rsid w:val="00AF1750"/>
    <w:rsid w:val="00AF3813"/>
    <w:rsid w:val="00AF5D92"/>
    <w:rsid w:val="00AF5DE3"/>
    <w:rsid w:val="00B00DED"/>
    <w:rsid w:val="00B04FBA"/>
    <w:rsid w:val="00B054F9"/>
    <w:rsid w:val="00B14DFA"/>
    <w:rsid w:val="00B1571A"/>
    <w:rsid w:val="00B1750A"/>
    <w:rsid w:val="00B254AF"/>
    <w:rsid w:val="00B27630"/>
    <w:rsid w:val="00B30384"/>
    <w:rsid w:val="00B318F3"/>
    <w:rsid w:val="00B32F3B"/>
    <w:rsid w:val="00B346CD"/>
    <w:rsid w:val="00B37709"/>
    <w:rsid w:val="00B42E8D"/>
    <w:rsid w:val="00B45379"/>
    <w:rsid w:val="00B45BA6"/>
    <w:rsid w:val="00B46E69"/>
    <w:rsid w:val="00B52832"/>
    <w:rsid w:val="00B60B8F"/>
    <w:rsid w:val="00B665A4"/>
    <w:rsid w:val="00B71BD6"/>
    <w:rsid w:val="00B74410"/>
    <w:rsid w:val="00B74817"/>
    <w:rsid w:val="00B8041D"/>
    <w:rsid w:val="00B85E64"/>
    <w:rsid w:val="00B861D7"/>
    <w:rsid w:val="00B923B3"/>
    <w:rsid w:val="00B95E26"/>
    <w:rsid w:val="00B96305"/>
    <w:rsid w:val="00BA1705"/>
    <w:rsid w:val="00BA1FE3"/>
    <w:rsid w:val="00BB297A"/>
    <w:rsid w:val="00BB5980"/>
    <w:rsid w:val="00BB61CF"/>
    <w:rsid w:val="00BB74DE"/>
    <w:rsid w:val="00BB752D"/>
    <w:rsid w:val="00BB7806"/>
    <w:rsid w:val="00BC1776"/>
    <w:rsid w:val="00BC370B"/>
    <w:rsid w:val="00BC453E"/>
    <w:rsid w:val="00BC49E7"/>
    <w:rsid w:val="00BC6877"/>
    <w:rsid w:val="00BC6907"/>
    <w:rsid w:val="00BD0C62"/>
    <w:rsid w:val="00BD270B"/>
    <w:rsid w:val="00BD2A42"/>
    <w:rsid w:val="00BD7643"/>
    <w:rsid w:val="00BE02A6"/>
    <w:rsid w:val="00BE1C21"/>
    <w:rsid w:val="00BE1CB0"/>
    <w:rsid w:val="00BE5428"/>
    <w:rsid w:val="00BF0962"/>
    <w:rsid w:val="00BF1E3E"/>
    <w:rsid w:val="00BF5FC5"/>
    <w:rsid w:val="00BF6D2F"/>
    <w:rsid w:val="00BF7E04"/>
    <w:rsid w:val="00C01020"/>
    <w:rsid w:val="00C03F83"/>
    <w:rsid w:val="00C05C84"/>
    <w:rsid w:val="00C07464"/>
    <w:rsid w:val="00C11EFD"/>
    <w:rsid w:val="00C12691"/>
    <w:rsid w:val="00C13D67"/>
    <w:rsid w:val="00C14A09"/>
    <w:rsid w:val="00C14CAD"/>
    <w:rsid w:val="00C16010"/>
    <w:rsid w:val="00C214E9"/>
    <w:rsid w:val="00C259C1"/>
    <w:rsid w:val="00C30545"/>
    <w:rsid w:val="00C322B5"/>
    <w:rsid w:val="00C33116"/>
    <w:rsid w:val="00C35F22"/>
    <w:rsid w:val="00C45383"/>
    <w:rsid w:val="00C46B7F"/>
    <w:rsid w:val="00C46EAA"/>
    <w:rsid w:val="00C47231"/>
    <w:rsid w:val="00C47257"/>
    <w:rsid w:val="00C523AD"/>
    <w:rsid w:val="00C551AF"/>
    <w:rsid w:val="00C6215B"/>
    <w:rsid w:val="00C65445"/>
    <w:rsid w:val="00C65A0A"/>
    <w:rsid w:val="00C70ABC"/>
    <w:rsid w:val="00C72C3D"/>
    <w:rsid w:val="00C74CF4"/>
    <w:rsid w:val="00C806AE"/>
    <w:rsid w:val="00C837BF"/>
    <w:rsid w:val="00C858D8"/>
    <w:rsid w:val="00C877F1"/>
    <w:rsid w:val="00C9040A"/>
    <w:rsid w:val="00C9289F"/>
    <w:rsid w:val="00C95D0A"/>
    <w:rsid w:val="00CA3FA4"/>
    <w:rsid w:val="00CB27B2"/>
    <w:rsid w:val="00CC1125"/>
    <w:rsid w:val="00CC5BEC"/>
    <w:rsid w:val="00CC702C"/>
    <w:rsid w:val="00CD2C56"/>
    <w:rsid w:val="00CD3ECF"/>
    <w:rsid w:val="00CE2173"/>
    <w:rsid w:val="00CE33D5"/>
    <w:rsid w:val="00CE5482"/>
    <w:rsid w:val="00CE5893"/>
    <w:rsid w:val="00CE70FF"/>
    <w:rsid w:val="00CF1F22"/>
    <w:rsid w:val="00CF2074"/>
    <w:rsid w:val="00CF5E2E"/>
    <w:rsid w:val="00CF6516"/>
    <w:rsid w:val="00D00FD8"/>
    <w:rsid w:val="00D0188F"/>
    <w:rsid w:val="00D07693"/>
    <w:rsid w:val="00D10F10"/>
    <w:rsid w:val="00D166E6"/>
    <w:rsid w:val="00D17B55"/>
    <w:rsid w:val="00D20502"/>
    <w:rsid w:val="00D26CD8"/>
    <w:rsid w:val="00D26D61"/>
    <w:rsid w:val="00D329EB"/>
    <w:rsid w:val="00D36B47"/>
    <w:rsid w:val="00D36EC4"/>
    <w:rsid w:val="00D405E7"/>
    <w:rsid w:val="00D40D6A"/>
    <w:rsid w:val="00D42DD5"/>
    <w:rsid w:val="00D508BE"/>
    <w:rsid w:val="00D50E68"/>
    <w:rsid w:val="00D5324B"/>
    <w:rsid w:val="00D54DC9"/>
    <w:rsid w:val="00D57C0F"/>
    <w:rsid w:val="00D57FDF"/>
    <w:rsid w:val="00D62383"/>
    <w:rsid w:val="00D645F3"/>
    <w:rsid w:val="00D67A16"/>
    <w:rsid w:val="00D71FA0"/>
    <w:rsid w:val="00D74329"/>
    <w:rsid w:val="00D8434F"/>
    <w:rsid w:val="00D906A6"/>
    <w:rsid w:val="00D97F73"/>
    <w:rsid w:val="00D97F97"/>
    <w:rsid w:val="00DA65D7"/>
    <w:rsid w:val="00DB4D58"/>
    <w:rsid w:val="00DB537E"/>
    <w:rsid w:val="00DB6F10"/>
    <w:rsid w:val="00DC1C1F"/>
    <w:rsid w:val="00DC1E1B"/>
    <w:rsid w:val="00DC324D"/>
    <w:rsid w:val="00DC557A"/>
    <w:rsid w:val="00DC5BA5"/>
    <w:rsid w:val="00DD3F3C"/>
    <w:rsid w:val="00DD72A6"/>
    <w:rsid w:val="00DE19E5"/>
    <w:rsid w:val="00DE4BF1"/>
    <w:rsid w:val="00DE5C32"/>
    <w:rsid w:val="00DE7DA8"/>
    <w:rsid w:val="00DF31FC"/>
    <w:rsid w:val="00DF6B48"/>
    <w:rsid w:val="00DF713E"/>
    <w:rsid w:val="00E0092B"/>
    <w:rsid w:val="00E1172E"/>
    <w:rsid w:val="00E12682"/>
    <w:rsid w:val="00E155E0"/>
    <w:rsid w:val="00E15CC1"/>
    <w:rsid w:val="00E16278"/>
    <w:rsid w:val="00E167EB"/>
    <w:rsid w:val="00E21019"/>
    <w:rsid w:val="00E23584"/>
    <w:rsid w:val="00E24C5E"/>
    <w:rsid w:val="00E26D2E"/>
    <w:rsid w:val="00E275CE"/>
    <w:rsid w:val="00E30F9D"/>
    <w:rsid w:val="00E310ED"/>
    <w:rsid w:val="00E320D1"/>
    <w:rsid w:val="00E33329"/>
    <w:rsid w:val="00E3502C"/>
    <w:rsid w:val="00E35F83"/>
    <w:rsid w:val="00E36F91"/>
    <w:rsid w:val="00E415AF"/>
    <w:rsid w:val="00E42876"/>
    <w:rsid w:val="00E447CA"/>
    <w:rsid w:val="00E46280"/>
    <w:rsid w:val="00E50142"/>
    <w:rsid w:val="00E525D1"/>
    <w:rsid w:val="00E54B1A"/>
    <w:rsid w:val="00E55633"/>
    <w:rsid w:val="00E5665E"/>
    <w:rsid w:val="00E57739"/>
    <w:rsid w:val="00E57FB7"/>
    <w:rsid w:val="00E61310"/>
    <w:rsid w:val="00E62892"/>
    <w:rsid w:val="00E62C3D"/>
    <w:rsid w:val="00E63B6E"/>
    <w:rsid w:val="00E65E53"/>
    <w:rsid w:val="00E7220C"/>
    <w:rsid w:val="00E734EE"/>
    <w:rsid w:val="00E8092A"/>
    <w:rsid w:val="00E839A9"/>
    <w:rsid w:val="00E866D7"/>
    <w:rsid w:val="00E90EDC"/>
    <w:rsid w:val="00E916BA"/>
    <w:rsid w:val="00E91808"/>
    <w:rsid w:val="00E95AB6"/>
    <w:rsid w:val="00E968F9"/>
    <w:rsid w:val="00EA180B"/>
    <w:rsid w:val="00EB1041"/>
    <w:rsid w:val="00EB54D8"/>
    <w:rsid w:val="00EC1FE0"/>
    <w:rsid w:val="00ED513B"/>
    <w:rsid w:val="00ED71E2"/>
    <w:rsid w:val="00EE0125"/>
    <w:rsid w:val="00EE0C76"/>
    <w:rsid w:val="00EE30D4"/>
    <w:rsid w:val="00EF0FE6"/>
    <w:rsid w:val="00EF3B21"/>
    <w:rsid w:val="00EF55FB"/>
    <w:rsid w:val="00EF64D3"/>
    <w:rsid w:val="00EF66CB"/>
    <w:rsid w:val="00EF6774"/>
    <w:rsid w:val="00F004D0"/>
    <w:rsid w:val="00F026D0"/>
    <w:rsid w:val="00F02B9F"/>
    <w:rsid w:val="00F07308"/>
    <w:rsid w:val="00F1053D"/>
    <w:rsid w:val="00F1138C"/>
    <w:rsid w:val="00F125D1"/>
    <w:rsid w:val="00F12AD3"/>
    <w:rsid w:val="00F137A1"/>
    <w:rsid w:val="00F147B7"/>
    <w:rsid w:val="00F22A09"/>
    <w:rsid w:val="00F2499D"/>
    <w:rsid w:val="00F2540D"/>
    <w:rsid w:val="00F3069F"/>
    <w:rsid w:val="00F3100E"/>
    <w:rsid w:val="00F32320"/>
    <w:rsid w:val="00F34E4F"/>
    <w:rsid w:val="00F408B7"/>
    <w:rsid w:val="00F42872"/>
    <w:rsid w:val="00F43C92"/>
    <w:rsid w:val="00F44DCD"/>
    <w:rsid w:val="00F55325"/>
    <w:rsid w:val="00F57B49"/>
    <w:rsid w:val="00F61005"/>
    <w:rsid w:val="00F62ACD"/>
    <w:rsid w:val="00F632A1"/>
    <w:rsid w:val="00F63E81"/>
    <w:rsid w:val="00F64443"/>
    <w:rsid w:val="00F75477"/>
    <w:rsid w:val="00F76101"/>
    <w:rsid w:val="00F8386F"/>
    <w:rsid w:val="00F83DCC"/>
    <w:rsid w:val="00F84197"/>
    <w:rsid w:val="00F9283F"/>
    <w:rsid w:val="00F94309"/>
    <w:rsid w:val="00F96470"/>
    <w:rsid w:val="00FA0183"/>
    <w:rsid w:val="00FA1D7A"/>
    <w:rsid w:val="00FA201D"/>
    <w:rsid w:val="00FA59C2"/>
    <w:rsid w:val="00FA71D1"/>
    <w:rsid w:val="00FB0274"/>
    <w:rsid w:val="00FB6109"/>
    <w:rsid w:val="00FB7B5F"/>
    <w:rsid w:val="00FB7E36"/>
    <w:rsid w:val="00FC08CA"/>
    <w:rsid w:val="00FC1F79"/>
    <w:rsid w:val="00FC2165"/>
    <w:rsid w:val="00FC387E"/>
    <w:rsid w:val="00FC3EFB"/>
    <w:rsid w:val="00FC3FEF"/>
    <w:rsid w:val="00FC56A1"/>
    <w:rsid w:val="00FD4C4A"/>
    <w:rsid w:val="00FD528C"/>
    <w:rsid w:val="00FD7BFA"/>
    <w:rsid w:val="00FE0D33"/>
    <w:rsid w:val="00FE23F0"/>
    <w:rsid w:val="00FE2663"/>
    <w:rsid w:val="00FE408B"/>
    <w:rsid w:val="00FE6536"/>
    <w:rsid w:val="00FE7F96"/>
    <w:rsid w:val="00FF02B9"/>
    <w:rsid w:val="00FF17A5"/>
    <w:rsid w:val="00FF1A47"/>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2F371"/>
  <w15:docId w15:val="{C8ACC721-5A8D-44B8-9032-6C00ABFD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00D"/>
    <w:pPr>
      <w:spacing w:line="240" w:lineRule="auto"/>
      <w:jc w:val="both"/>
    </w:pPr>
    <w:rPr>
      <w:rFonts w:ascii="Arial" w:hAnsi="Arial" w:cs="Arial"/>
      <w:bCs/>
      <w:lang w:val="en-US"/>
    </w:rPr>
  </w:style>
  <w:style w:type="paragraph" w:styleId="Heading1">
    <w:name w:val="heading 1"/>
    <w:basedOn w:val="Normal"/>
    <w:next w:val="Normal"/>
    <w:link w:val="Heading1Char"/>
    <w:qFormat/>
    <w:rsid w:val="007A0F84"/>
    <w:pPr>
      <w:outlineLvl w:val="0"/>
    </w:pPr>
    <w:rPr>
      <w:b/>
      <w:color w:val="000000"/>
      <w:shd w:val="clear" w:color="auto" w:fill="FFFFFF"/>
    </w:rPr>
  </w:style>
  <w:style w:type="paragraph" w:styleId="Heading2">
    <w:name w:val="heading 2"/>
    <w:basedOn w:val="Normal"/>
    <w:next w:val="Normal"/>
    <w:link w:val="Heading2Char"/>
    <w:unhideWhenUsed/>
    <w:qFormat/>
    <w:rsid w:val="00CA3FA4"/>
    <w:pPr>
      <w:spacing w:line="480" w:lineRule="auto"/>
      <w:jc w:val="left"/>
      <w:outlineLvl w:val="1"/>
    </w:pPr>
    <w:rPr>
      <w:i/>
      <w:lang w:val="en-GB"/>
    </w:rPr>
  </w:style>
  <w:style w:type="paragraph" w:styleId="Heading3">
    <w:name w:val="heading 3"/>
    <w:basedOn w:val="Normal"/>
    <w:next w:val="Normal"/>
    <w:link w:val="Heading3Char"/>
    <w:unhideWhenUsed/>
    <w:qFormat/>
    <w:rsid w:val="00A60EB8"/>
    <w:pPr>
      <w:spacing w:line="480" w:lineRule="auto"/>
      <w:outlineLvl w:val="2"/>
    </w:pPr>
    <w:rPr>
      <w:i/>
      <w:u w:val="single"/>
      <w:lang w:val="en-GB"/>
    </w:rPr>
  </w:style>
  <w:style w:type="paragraph" w:styleId="Heading4">
    <w:name w:val="heading 4"/>
    <w:basedOn w:val="Normal"/>
    <w:next w:val="Normal"/>
    <w:link w:val="Heading4Char"/>
    <w:autoRedefine/>
    <w:qFormat/>
    <w:rsid w:val="00184C27"/>
    <w:pPr>
      <w:keepNext/>
      <w:tabs>
        <w:tab w:val="num" w:pos="864"/>
      </w:tabs>
      <w:suppressAutoHyphens/>
      <w:spacing w:before="240" w:after="60"/>
      <w:outlineLvl w:val="3"/>
    </w:pPr>
    <w:rPr>
      <w:rFonts w:eastAsia="Times New Roman"/>
      <w:b/>
      <w:bCs w:val="0"/>
      <w:szCs w:val="20"/>
      <w:lang w:val="en-GB" w:eastAsia="ar-SA"/>
    </w:rPr>
  </w:style>
  <w:style w:type="paragraph" w:styleId="Heading5">
    <w:name w:val="heading 5"/>
    <w:basedOn w:val="Normal"/>
    <w:next w:val="Normal"/>
    <w:link w:val="Heading5Char"/>
    <w:qFormat/>
    <w:rsid w:val="00184C27"/>
    <w:pPr>
      <w:suppressAutoHyphens/>
      <w:spacing w:before="240" w:after="60"/>
      <w:outlineLvl w:val="4"/>
    </w:pPr>
    <w:rPr>
      <w:rFonts w:eastAsia="Times New Roman" w:cs="Times New Roman"/>
      <w:b/>
      <w:i/>
      <w:iCs/>
      <w:sz w:val="26"/>
      <w:szCs w:val="26"/>
      <w:lang w:val="en-GB" w:eastAsia="ar-SA"/>
    </w:rPr>
  </w:style>
  <w:style w:type="paragraph" w:styleId="Heading6">
    <w:name w:val="heading 6"/>
    <w:basedOn w:val="Normal"/>
    <w:next w:val="Normal"/>
    <w:link w:val="Heading6Char"/>
    <w:autoRedefine/>
    <w:qFormat/>
    <w:rsid w:val="00184C27"/>
    <w:pPr>
      <w:suppressAutoHyphens/>
      <w:spacing w:after="0"/>
      <w:outlineLvl w:val="5"/>
    </w:pPr>
    <w:rPr>
      <w:rFonts w:eastAsia="Times New Roman" w:cs="Times New Roman"/>
      <w:b/>
      <w:lang w:eastAsia="ar-SA"/>
    </w:rPr>
  </w:style>
  <w:style w:type="paragraph" w:styleId="Heading7">
    <w:name w:val="heading 7"/>
    <w:basedOn w:val="Normal"/>
    <w:next w:val="Normal"/>
    <w:link w:val="Heading7Char"/>
    <w:qFormat/>
    <w:rsid w:val="00184C27"/>
    <w:pPr>
      <w:suppressAutoHyphens/>
      <w:spacing w:before="240" w:after="60"/>
      <w:outlineLvl w:val="6"/>
    </w:pPr>
    <w:rPr>
      <w:rFonts w:ascii="Times New Roman" w:eastAsia="Times New Roman" w:hAnsi="Times New Roman" w:cs="Times New Roman"/>
      <w:bCs w:val="0"/>
      <w:sz w:val="24"/>
      <w:szCs w:val="24"/>
      <w:lang w:val="en-GB" w:eastAsia="ar-SA"/>
    </w:rPr>
  </w:style>
  <w:style w:type="paragraph" w:styleId="Heading8">
    <w:name w:val="heading 8"/>
    <w:basedOn w:val="Normal"/>
    <w:next w:val="Normal"/>
    <w:link w:val="Heading8Char"/>
    <w:qFormat/>
    <w:rsid w:val="00184C27"/>
    <w:pPr>
      <w:suppressAutoHyphens/>
      <w:spacing w:before="240" w:after="60"/>
      <w:outlineLvl w:val="7"/>
    </w:pPr>
    <w:rPr>
      <w:rFonts w:ascii="Times New Roman" w:eastAsia="Times New Roman" w:hAnsi="Times New Roman" w:cs="Times New Roman"/>
      <w:bCs w:val="0"/>
      <w:i/>
      <w:iCs/>
      <w:sz w:val="24"/>
      <w:szCs w:val="24"/>
      <w:lang w:val="en-GB" w:eastAsia="ar-SA"/>
    </w:rPr>
  </w:style>
  <w:style w:type="paragraph" w:styleId="Heading9">
    <w:name w:val="heading 9"/>
    <w:basedOn w:val="Normal"/>
    <w:next w:val="Normal"/>
    <w:link w:val="Heading9Char"/>
    <w:qFormat/>
    <w:rsid w:val="00184C27"/>
    <w:pPr>
      <w:suppressAutoHyphens/>
      <w:spacing w:before="240" w:after="60"/>
      <w:outlineLvl w:val="8"/>
    </w:pPr>
    <w:rPr>
      <w:rFonts w:eastAsia="Times New Roman"/>
      <w:bCs w:val="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F84"/>
    <w:rPr>
      <w:rFonts w:ascii="Arial" w:hAnsi="Arial" w:cs="Arial"/>
      <w:b/>
      <w:color w:val="000000"/>
      <w:lang w:val="en-US"/>
    </w:rPr>
  </w:style>
  <w:style w:type="character" w:customStyle="1" w:styleId="Heading2Char">
    <w:name w:val="Heading 2 Char"/>
    <w:basedOn w:val="DefaultParagraphFont"/>
    <w:link w:val="Heading2"/>
    <w:rsid w:val="00CA3FA4"/>
    <w:rPr>
      <w:rFonts w:ascii="Arial" w:hAnsi="Arial" w:cs="Arial"/>
      <w:bCs/>
      <w:i/>
      <w:lang w:val="en-GB"/>
    </w:rPr>
  </w:style>
  <w:style w:type="character" w:customStyle="1" w:styleId="Heading3Char">
    <w:name w:val="Heading 3 Char"/>
    <w:basedOn w:val="DefaultParagraphFont"/>
    <w:link w:val="Heading3"/>
    <w:rsid w:val="00A60EB8"/>
    <w:rPr>
      <w:rFonts w:ascii="Arial" w:hAnsi="Arial" w:cs="Arial"/>
      <w:bCs/>
      <w:i/>
      <w:u w:val="single"/>
      <w:lang w:val="en-GB"/>
    </w:rPr>
  </w:style>
  <w:style w:type="character" w:customStyle="1" w:styleId="Heading4Char">
    <w:name w:val="Heading 4 Char"/>
    <w:basedOn w:val="DefaultParagraphFont"/>
    <w:link w:val="Heading4"/>
    <w:rsid w:val="00184C27"/>
    <w:rPr>
      <w:rFonts w:ascii="Arial" w:eastAsia="Times New Roman" w:hAnsi="Arial" w:cs="Arial"/>
      <w:b/>
      <w:szCs w:val="20"/>
      <w:lang w:val="en-GB" w:eastAsia="ar-SA"/>
    </w:rPr>
  </w:style>
  <w:style w:type="character" w:customStyle="1" w:styleId="Heading5Char">
    <w:name w:val="Heading 5 Char"/>
    <w:basedOn w:val="DefaultParagraphFont"/>
    <w:link w:val="Heading5"/>
    <w:rsid w:val="00184C27"/>
    <w:rPr>
      <w:rFonts w:ascii="Arial" w:eastAsia="Times New Roman" w:hAnsi="Arial" w:cs="Times New Roman"/>
      <w:b/>
      <w:bCs/>
      <w:i/>
      <w:iCs/>
      <w:sz w:val="26"/>
      <w:szCs w:val="26"/>
      <w:lang w:val="en-GB" w:eastAsia="ar-SA"/>
    </w:rPr>
  </w:style>
  <w:style w:type="character" w:customStyle="1" w:styleId="Heading6Char">
    <w:name w:val="Heading 6 Char"/>
    <w:basedOn w:val="DefaultParagraphFont"/>
    <w:link w:val="Heading6"/>
    <w:rsid w:val="00184C27"/>
    <w:rPr>
      <w:rFonts w:ascii="Arial" w:eastAsia="Times New Roman" w:hAnsi="Arial" w:cs="Times New Roman"/>
      <w:b/>
      <w:bCs/>
      <w:lang w:val="en-US" w:eastAsia="ar-SA"/>
    </w:rPr>
  </w:style>
  <w:style w:type="character" w:customStyle="1" w:styleId="Heading7Char">
    <w:name w:val="Heading 7 Char"/>
    <w:basedOn w:val="DefaultParagraphFont"/>
    <w:link w:val="Heading7"/>
    <w:rsid w:val="00184C27"/>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184C27"/>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184C27"/>
    <w:rPr>
      <w:rFonts w:ascii="Arial" w:eastAsia="Times New Roman" w:hAnsi="Arial" w:cs="Arial"/>
      <w:lang w:val="en-GB" w:eastAsia="ar-SA"/>
    </w:rPr>
  </w:style>
  <w:style w:type="paragraph" w:styleId="Header">
    <w:name w:val="header"/>
    <w:basedOn w:val="Normal"/>
    <w:link w:val="HeaderChar"/>
    <w:unhideWhenUsed/>
    <w:rsid w:val="007A0F84"/>
    <w:pPr>
      <w:tabs>
        <w:tab w:val="center" w:pos="4252"/>
        <w:tab w:val="right" w:pos="8504"/>
      </w:tabs>
      <w:spacing w:after="0"/>
    </w:pPr>
  </w:style>
  <w:style w:type="character" w:customStyle="1" w:styleId="HeaderChar">
    <w:name w:val="Header Char"/>
    <w:basedOn w:val="DefaultParagraphFont"/>
    <w:link w:val="Header"/>
    <w:uiPriority w:val="99"/>
    <w:semiHidden/>
    <w:rsid w:val="007A0F84"/>
  </w:style>
  <w:style w:type="paragraph" w:styleId="Footer">
    <w:name w:val="footer"/>
    <w:basedOn w:val="Normal"/>
    <w:link w:val="FooterChar"/>
    <w:uiPriority w:val="99"/>
    <w:unhideWhenUsed/>
    <w:rsid w:val="007A0F84"/>
    <w:pPr>
      <w:tabs>
        <w:tab w:val="center" w:pos="4252"/>
        <w:tab w:val="right" w:pos="8504"/>
      </w:tabs>
      <w:spacing w:after="0"/>
    </w:pPr>
  </w:style>
  <w:style w:type="character" w:customStyle="1" w:styleId="FooterChar">
    <w:name w:val="Footer Char"/>
    <w:basedOn w:val="DefaultParagraphFont"/>
    <w:link w:val="Footer"/>
    <w:uiPriority w:val="99"/>
    <w:rsid w:val="007A0F84"/>
  </w:style>
  <w:style w:type="character" w:styleId="Hyperlink">
    <w:name w:val="Hyperlink"/>
    <w:basedOn w:val="DefaultParagraphFont"/>
    <w:uiPriority w:val="99"/>
    <w:unhideWhenUsed/>
    <w:rsid w:val="007A0F84"/>
    <w:rPr>
      <w:color w:val="0000FF" w:themeColor="hyperlink"/>
      <w:u w:val="single"/>
    </w:rPr>
  </w:style>
  <w:style w:type="paragraph" w:styleId="TOC2">
    <w:name w:val="toc 2"/>
    <w:basedOn w:val="Normal"/>
    <w:next w:val="Normal"/>
    <w:autoRedefine/>
    <w:uiPriority w:val="39"/>
    <w:unhideWhenUsed/>
    <w:qFormat/>
    <w:rsid w:val="0057257B"/>
    <w:pPr>
      <w:tabs>
        <w:tab w:val="left" w:pos="880"/>
        <w:tab w:val="right" w:leader="dot" w:pos="8494"/>
      </w:tabs>
      <w:spacing w:after="100"/>
      <w:ind w:left="220"/>
    </w:pPr>
    <w:rPr>
      <w:bCs w:val="0"/>
      <w:noProof/>
      <w:lang w:val="en-GB"/>
    </w:rPr>
  </w:style>
  <w:style w:type="paragraph" w:styleId="TOC3">
    <w:name w:val="toc 3"/>
    <w:basedOn w:val="Normal"/>
    <w:next w:val="Normal"/>
    <w:autoRedefine/>
    <w:uiPriority w:val="39"/>
    <w:unhideWhenUsed/>
    <w:qFormat/>
    <w:rsid w:val="007A0F84"/>
    <w:pPr>
      <w:spacing w:after="100"/>
      <w:ind w:left="440"/>
    </w:pPr>
  </w:style>
  <w:style w:type="paragraph" w:styleId="BalloonText">
    <w:name w:val="Balloon Text"/>
    <w:basedOn w:val="Normal"/>
    <w:link w:val="BalloonTextChar"/>
    <w:unhideWhenUsed/>
    <w:rsid w:val="007A0F84"/>
    <w:pPr>
      <w:spacing w:after="0"/>
    </w:pPr>
    <w:rPr>
      <w:rFonts w:ascii="Tahoma" w:hAnsi="Tahoma" w:cs="Tahoma"/>
      <w:sz w:val="16"/>
      <w:szCs w:val="16"/>
    </w:rPr>
  </w:style>
  <w:style w:type="character" w:customStyle="1" w:styleId="BalloonTextChar">
    <w:name w:val="Balloon Text Char"/>
    <w:basedOn w:val="DefaultParagraphFont"/>
    <w:link w:val="BalloonText"/>
    <w:rsid w:val="007A0F84"/>
    <w:rPr>
      <w:rFonts w:ascii="Tahoma" w:hAnsi="Tahoma" w:cs="Tahoma"/>
      <w:sz w:val="16"/>
      <w:szCs w:val="16"/>
    </w:rPr>
  </w:style>
  <w:style w:type="paragraph" w:styleId="TOC1">
    <w:name w:val="toc 1"/>
    <w:basedOn w:val="Normal"/>
    <w:next w:val="Normal"/>
    <w:autoRedefine/>
    <w:uiPriority w:val="39"/>
    <w:unhideWhenUsed/>
    <w:qFormat/>
    <w:rsid w:val="009F2C0B"/>
    <w:pPr>
      <w:tabs>
        <w:tab w:val="left" w:pos="440"/>
        <w:tab w:val="right" w:leader="dot" w:pos="8494"/>
      </w:tabs>
      <w:spacing w:after="100" w:line="480" w:lineRule="auto"/>
    </w:pPr>
    <w:rPr>
      <w:b/>
      <w:noProof/>
      <w:lang w:val="en-GB"/>
    </w:rPr>
  </w:style>
  <w:style w:type="character" w:styleId="CommentReference">
    <w:name w:val="annotation reference"/>
    <w:basedOn w:val="DefaultParagraphFont"/>
    <w:unhideWhenUsed/>
    <w:rsid w:val="006D1EAC"/>
    <w:rPr>
      <w:sz w:val="16"/>
      <w:szCs w:val="16"/>
    </w:rPr>
  </w:style>
  <w:style w:type="paragraph" w:styleId="CommentText">
    <w:name w:val="annotation text"/>
    <w:basedOn w:val="Normal"/>
    <w:link w:val="CommentTextChar"/>
    <w:unhideWhenUsed/>
    <w:rsid w:val="006D1EAC"/>
    <w:pPr>
      <w:spacing w:after="120"/>
    </w:pPr>
    <w:rPr>
      <w:sz w:val="20"/>
      <w:szCs w:val="20"/>
    </w:rPr>
  </w:style>
  <w:style w:type="character" w:customStyle="1" w:styleId="CommentTextChar">
    <w:name w:val="Comment Text Char"/>
    <w:basedOn w:val="DefaultParagraphFont"/>
    <w:link w:val="CommentText"/>
    <w:rsid w:val="006D1EAC"/>
    <w:rPr>
      <w:sz w:val="20"/>
      <w:szCs w:val="20"/>
      <w:lang w:val="en-US"/>
    </w:rPr>
  </w:style>
  <w:style w:type="paragraph" w:styleId="ListParagraph">
    <w:name w:val="List Paragraph"/>
    <w:basedOn w:val="Normal"/>
    <w:link w:val="ListParagraphChar"/>
    <w:uiPriority w:val="34"/>
    <w:qFormat/>
    <w:rsid w:val="00CC702C"/>
    <w:pPr>
      <w:ind w:left="720"/>
      <w:contextualSpacing/>
    </w:pPr>
  </w:style>
  <w:style w:type="character" w:customStyle="1" w:styleId="ListParagraphChar">
    <w:name w:val="List Paragraph Char"/>
    <w:link w:val="ListParagraph"/>
    <w:uiPriority w:val="34"/>
    <w:rsid w:val="00B32F3B"/>
    <w:rPr>
      <w:rFonts w:ascii="Arial" w:hAnsi="Arial" w:cs="Arial"/>
      <w:bCs/>
      <w:lang w:val="en-GB"/>
    </w:rPr>
  </w:style>
  <w:style w:type="table" w:styleId="TableGrid">
    <w:name w:val="Table Grid"/>
    <w:basedOn w:val="TableNormal"/>
    <w:uiPriority w:val="39"/>
    <w:rsid w:val="00CC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AE2B85"/>
    <w:pPr>
      <w:spacing w:after="200"/>
    </w:pPr>
    <w:rPr>
      <w:b/>
      <w:lang w:val="en-GB"/>
    </w:rPr>
  </w:style>
  <w:style w:type="character" w:customStyle="1" w:styleId="CommentSubjectChar">
    <w:name w:val="Comment Subject Char"/>
    <w:basedOn w:val="CommentTextChar"/>
    <w:link w:val="CommentSubject"/>
    <w:rsid w:val="00AE2B85"/>
    <w:rPr>
      <w:rFonts w:ascii="Arial" w:hAnsi="Arial" w:cs="Arial"/>
      <w:b/>
      <w:bCs/>
      <w:sz w:val="20"/>
      <w:szCs w:val="20"/>
      <w:lang w:val="en-GB"/>
    </w:rPr>
  </w:style>
  <w:style w:type="paragraph" w:styleId="Caption">
    <w:name w:val="caption"/>
    <w:basedOn w:val="Normal"/>
    <w:next w:val="Normal"/>
    <w:unhideWhenUsed/>
    <w:qFormat/>
    <w:rsid w:val="00B32F3B"/>
    <w:pPr>
      <w:suppressAutoHyphens/>
      <w:spacing w:after="0"/>
    </w:pPr>
    <w:rPr>
      <w:rFonts w:eastAsia="Times New Roman" w:cs="Times New Roman"/>
      <w:b/>
      <w:sz w:val="20"/>
      <w:szCs w:val="20"/>
      <w:lang w:eastAsia="ar-SA"/>
    </w:rPr>
  </w:style>
  <w:style w:type="paragraph" w:styleId="NormalWeb">
    <w:name w:val="Normal (Web)"/>
    <w:basedOn w:val="Normal"/>
    <w:uiPriority w:val="99"/>
    <w:unhideWhenUsed/>
    <w:rsid w:val="008031D2"/>
    <w:pPr>
      <w:spacing w:before="100" w:beforeAutospacing="1" w:after="100" w:afterAutospacing="1"/>
      <w:jc w:val="left"/>
    </w:pPr>
    <w:rPr>
      <w:rFonts w:ascii="Times New Roman" w:eastAsia="Times New Roman" w:hAnsi="Times New Roman" w:cs="Times New Roman"/>
      <w:bCs w:val="0"/>
      <w:sz w:val="24"/>
      <w:szCs w:val="24"/>
      <w:lang w:val="es-ES" w:eastAsia="es-ES"/>
    </w:rPr>
  </w:style>
  <w:style w:type="paragraph" w:styleId="Revision">
    <w:name w:val="Revision"/>
    <w:hidden/>
    <w:uiPriority w:val="99"/>
    <w:semiHidden/>
    <w:rsid w:val="00E46280"/>
    <w:pPr>
      <w:spacing w:after="0" w:line="240" w:lineRule="auto"/>
    </w:pPr>
    <w:rPr>
      <w:rFonts w:ascii="Arial" w:hAnsi="Arial" w:cs="Arial"/>
      <w:bCs/>
      <w:lang w:val="en-GB"/>
    </w:rPr>
  </w:style>
  <w:style w:type="character" w:styleId="FollowedHyperlink">
    <w:name w:val="FollowedHyperlink"/>
    <w:basedOn w:val="DefaultParagraphFont"/>
    <w:uiPriority w:val="99"/>
    <w:unhideWhenUsed/>
    <w:rsid w:val="00C47257"/>
    <w:rPr>
      <w:color w:val="800080" w:themeColor="followedHyperlink"/>
      <w:u w:val="single"/>
    </w:rPr>
  </w:style>
  <w:style w:type="paragraph" w:customStyle="1" w:styleId="indentbullet">
    <w:name w:val="indent bullet"/>
    <w:basedOn w:val="Index1"/>
    <w:autoRedefine/>
    <w:rsid w:val="00184C27"/>
    <w:pPr>
      <w:tabs>
        <w:tab w:val="left" w:pos="7938"/>
      </w:tabs>
      <w:ind w:left="0" w:firstLine="0"/>
    </w:pPr>
    <w:rPr>
      <w:rFonts w:cs="Arial"/>
      <w:szCs w:val="20"/>
      <w:lang w:val="nl-NL"/>
    </w:rPr>
  </w:style>
  <w:style w:type="paragraph" w:styleId="Index1">
    <w:name w:val="index 1"/>
    <w:basedOn w:val="Normal"/>
    <w:next w:val="Normal"/>
    <w:autoRedefine/>
    <w:semiHidden/>
    <w:rsid w:val="00184C27"/>
    <w:pPr>
      <w:numPr>
        <w:numId w:val="3"/>
      </w:numPr>
      <w:suppressAutoHyphens/>
      <w:spacing w:after="0"/>
    </w:pPr>
    <w:rPr>
      <w:rFonts w:eastAsia="Times New Roman" w:cs="Times New Roman"/>
      <w:bCs w:val="0"/>
      <w:szCs w:val="24"/>
      <w:lang w:val="en-GB" w:eastAsia="ar-SA"/>
    </w:rPr>
  </w:style>
  <w:style w:type="paragraph" w:customStyle="1" w:styleId="Index">
    <w:name w:val="Index"/>
    <w:basedOn w:val="Normal"/>
    <w:rsid w:val="00184C27"/>
    <w:pPr>
      <w:suppressLineNumbers/>
      <w:suppressAutoHyphens/>
      <w:spacing w:after="0"/>
    </w:pPr>
    <w:rPr>
      <w:rFonts w:eastAsia="Times New Roman" w:cs="Times New Roman"/>
      <w:bCs w:val="0"/>
      <w:szCs w:val="24"/>
      <w:lang w:val="en-GB" w:eastAsia="ar-SA"/>
    </w:rPr>
  </w:style>
  <w:style w:type="paragraph" w:customStyle="1" w:styleId="tablecontentsheading">
    <w:name w:val="table contents heading"/>
    <w:basedOn w:val="Normal"/>
    <w:autoRedefine/>
    <w:rsid w:val="00184C27"/>
    <w:pPr>
      <w:widowControl w:val="0"/>
      <w:suppressAutoHyphens/>
      <w:spacing w:after="0"/>
    </w:pPr>
    <w:rPr>
      <w:rFonts w:eastAsia="Times New Roman" w:cs="Times New Roman"/>
      <w:b/>
      <w:bCs w:val="0"/>
      <w:spacing w:val="4"/>
      <w:sz w:val="32"/>
      <w:szCs w:val="20"/>
      <w:lang w:val="en-GB" w:eastAsia="ar-SA"/>
    </w:rPr>
  </w:style>
  <w:style w:type="paragraph" w:customStyle="1" w:styleId="tablecontents">
    <w:name w:val="table contents"/>
    <w:basedOn w:val="tablecontentsheading"/>
    <w:rsid w:val="00184C27"/>
    <w:rPr>
      <w:b w:val="0"/>
      <w:color w:val="000000"/>
    </w:rPr>
  </w:style>
  <w:style w:type="paragraph" w:customStyle="1" w:styleId="Style2">
    <w:name w:val="Style2"/>
    <w:basedOn w:val="Normal"/>
    <w:rsid w:val="00184C27"/>
    <w:pPr>
      <w:spacing w:after="0"/>
      <w:jc w:val="center"/>
    </w:pPr>
    <w:rPr>
      <w:rFonts w:eastAsia="Times New Roman" w:cs="Times New Roman"/>
      <w:b/>
      <w:bCs w:val="0"/>
      <w:sz w:val="32"/>
      <w:szCs w:val="24"/>
      <w:lang w:val="en-GB"/>
    </w:rPr>
  </w:style>
  <w:style w:type="paragraph" w:styleId="TOC4">
    <w:name w:val="toc 4"/>
    <w:basedOn w:val="Normal"/>
    <w:next w:val="Normal"/>
    <w:autoRedefine/>
    <w:uiPriority w:val="39"/>
    <w:rsid w:val="00184C27"/>
    <w:pPr>
      <w:tabs>
        <w:tab w:val="left" w:pos="1622"/>
        <w:tab w:val="right" w:leader="dot" w:pos="8448"/>
      </w:tabs>
      <w:suppressAutoHyphens/>
      <w:spacing w:before="40" w:after="0"/>
      <w:ind w:left="658"/>
    </w:pPr>
    <w:rPr>
      <w:rFonts w:eastAsia="Times New Roman" w:cs="Times New Roman"/>
      <w:bCs w:val="0"/>
      <w:noProof/>
      <w:lang w:eastAsia="ar-SA"/>
    </w:rPr>
  </w:style>
  <w:style w:type="paragraph" w:customStyle="1" w:styleId="Headersection2">
    <w:name w:val="Header section 2"/>
    <w:basedOn w:val="Header"/>
    <w:rsid w:val="00184C27"/>
    <w:pPr>
      <w:tabs>
        <w:tab w:val="clear" w:pos="4252"/>
        <w:tab w:val="clear" w:pos="8504"/>
        <w:tab w:val="center" w:pos="4153"/>
        <w:tab w:val="left" w:pos="4984"/>
        <w:tab w:val="right" w:pos="8306"/>
      </w:tabs>
      <w:suppressAutoHyphens/>
      <w:spacing w:line="288" w:lineRule="auto"/>
      <w:jc w:val="left"/>
    </w:pPr>
    <w:rPr>
      <w:rFonts w:eastAsia="Times New Roman" w:cs="Times New Roman"/>
      <w:bCs w:val="0"/>
      <w:spacing w:val="4"/>
      <w:sz w:val="18"/>
      <w:szCs w:val="20"/>
      <w:lang w:val="en-GB" w:eastAsia="ar-SA"/>
    </w:rPr>
  </w:style>
  <w:style w:type="paragraph" w:styleId="TOCHeading">
    <w:name w:val="TOC Heading"/>
    <w:basedOn w:val="Heading1"/>
    <w:next w:val="Normal"/>
    <w:uiPriority w:val="39"/>
    <w:unhideWhenUsed/>
    <w:qFormat/>
    <w:rsid w:val="00184C27"/>
    <w:pPr>
      <w:keepNext/>
      <w:keepLines/>
      <w:spacing w:before="480" w:after="0" w:line="276" w:lineRule="auto"/>
      <w:jc w:val="left"/>
      <w:outlineLvl w:val="9"/>
    </w:pPr>
    <w:rPr>
      <w:rFonts w:ascii="Cambria" w:eastAsia="Times New Roman" w:hAnsi="Cambria" w:cs="Times New Roman"/>
      <w:bCs w:val="0"/>
      <w:color w:val="365F91"/>
      <w:sz w:val="28"/>
      <w:szCs w:val="28"/>
      <w:shd w:val="clear" w:color="auto" w:fill="auto"/>
      <w:lang w:val="en-GB" w:eastAsia="ja-JP"/>
    </w:rPr>
  </w:style>
  <w:style w:type="paragraph" w:customStyle="1" w:styleId="ACTstyle">
    <w:name w:val="ACT style"/>
    <w:basedOn w:val="Heading3"/>
    <w:link w:val="ACTstyleCar"/>
    <w:qFormat/>
    <w:rsid w:val="00184C27"/>
    <w:pPr>
      <w:spacing w:line="360" w:lineRule="auto"/>
      <w:jc w:val="left"/>
    </w:pPr>
    <w:rPr>
      <w:rFonts w:ascii="Gill Sans MT" w:eastAsia="Times New Roman" w:hAnsi="Gill Sans MT" w:cs="Times New Roman"/>
      <w:b/>
      <w:i w:val="0"/>
      <w:color w:val="489324"/>
      <w:sz w:val="26"/>
      <w:szCs w:val="26"/>
      <w:lang w:val="ca-ES" w:eastAsia="x-none"/>
    </w:rPr>
  </w:style>
  <w:style w:type="character" w:customStyle="1" w:styleId="ACTstyleCar">
    <w:name w:val="ACT style Car"/>
    <w:link w:val="ACTstyle"/>
    <w:rsid w:val="00184C27"/>
    <w:rPr>
      <w:rFonts w:ascii="Gill Sans MT" w:eastAsia="Times New Roman" w:hAnsi="Gill Sans MT" w:cs="Times New Roman"/>
      <w:b/>
      <w:bCs/>
      <w:color w:val="489324"/>
      <w:sz w:val="26"/>
      <w:szCs w:val="26"/>
      <w:lang w:val="ca-ES" w:eastAsia="x-none"/>
    </w:rPr>
  </w:style>
  <w:style w:type="paragraph" w:styleId="FootnoteText">
    <w:name w:val="footnote text"/>
    <w:basedOn w:val="Normal"/>
    <w:link w:val="FootnoteTextChar"/>
    <w:rsid w:val="00184C27"/>
    <w:pPr>
      <w:suppressAutoHyphens/>
      <w:spacing w:after="0"/>
    </w:pPr>
    <w:rPr>
      <w:rFonts w:eastAsia="Times New Roman" w:cs="Times New Roman"/>
      <w:bCs w:val="0"/>
      <w:sz w:val="20"/>
      <w:szCs w:val="20"/>
      <w:lang w:val="en-GB" w:eastAsia="ar-SA"/>
    </w:rPr>
  </w:style>
  <w:style w:type="character" w:customStyle="1" w:styleId="FootnoteTextChar">
    <w:name w:val="Footnote Text Char"/>
    <w:basedOn w:val="DefaultParagraphFont"/>
    <w:link w:val="FootnoteText"/>
    <w:rsid w:val="00184C27"/>
    <w:rPr>
      <w:rFonts w:ascii="Arial" w:eastAsia="Times New Roman" w:hAnsi="Arial" w:cs="Times New Roman"/>
      <w:sz w:val="20"/>
      <w:szCs w:val="20"/>
      <w:lang w:val="en-GB" w:eastAsia="ar-SA"/>
    </w:rPr>
  </w:style>
  <w:style w:type="character" w:styleId="FootnoteReference">
    <w:name w:val="footnote reference"/>
    <w:rsid w:val="00184C27"/>
    <w:rPr>
      <w:vertAlign w:val="superscript"/>
    </w:rPr>
  </w:style>
  <w:style w:type="paragraph" w:customStyle="1" w:styleId="font5">
    <w:name w:val="font5"/>
    <w:basedOn w:val="Normal"/>
    <w:rsid w:val="00184C27"/>
    <w:pPr>
      <w:spacing w:before="100" w:beforeAutospacing="1" w:after="100" w:afterAutospacing="1"/>
      <w:jc w:val="left"/>
    </w:pPr>
    <w:rPr>
      <w:rFonts w:eastAsia="Times New Roman"/>
      <w:bCs w:val="0"/>
      <w:color w:val="000000"/>
      <w:sz w:val="18"/>
      <w:szCs w:val="18"/>
      <w:lang w:val="es-ES" w:eastAsia="es-ES"/>
    </w:rPr>
  </w:style>
  <w:style w:type="paragraph" w:customStyle="1" w:styleId="font6">
    <w:name w:val="font6"/>
    <w:basedOn w:val="Normal"/>
    <w:rsid w:val="00184C27"/>
    <w:pPr>
      <w:spacing w:before="100" w:beforeAutospacing="1" w:after="100" w:afterAutospacing="1"/>
      <w:jc w:val="left"/>
    </w:pPr>
    <w:rPr>
      <w:rFonts w:eastAsia="Times New Roman"/>
      <w:b/>
      <w:color w:val="000000"/>
      <w:sz w:val="18"/>
      <w:szCs w:val="18"/>
      <w:lang w:val="es-ES" w:eastAsia="es-ES"/>
    </w:rPr>
  </w:style>
  <w:style w:type="paragraph" w:customStyle="1" w:styleId="font7">
    <w:name w:val="font7"/>
    <w:basedOn w:val="Normal"/>
    <w:rsid w:val="00184C27"/>
    <w:pPr>
      <w:spacing w:before="100" w:beforeAutospacing="1" w:after="100" w:afterAutospacing="1"/>
      <w:jc w:val="left"/>
    </w:pPr>
    <w:rPr>
      <w:rFonts w:eastAsia="Times New Roman"/>
      <w:b/>
      <w:color w:val="000000"/>
      <w:sz w:val="18"/>
      <w:szCs w:val="18"/>
      <w:lang w:val="es-ES" w:eastAsia="es-ES"/>
    </w:rPr>
  </w:style>
  <w:style w:type="paragraph" w:customStyle="1" w:styleId="xl63">
    <w:name w:val="xl63"/>
    <w:basedOn w:val="Normal"/>
    <w:rsid w:val="00184C27"/>
    <w:pPr>
      <w:spacing w:before="100" w:beforeAutospacing="1" w:after="100" w:afterAutospacing="1"/>
      <w:jc w:val="left"/>
      <w:textAlignment w:val="center"/>
    </w:pPr>
    <w:rPr>
      <w:rFonts w:eastAsia="Times New Roman"/>
      <w:b/>
      <w:color w:val="000000"/>
      <w:sz w:val="18"/>
      <w:szCs w:val="18"/>
      <w:lang w:val="es-ES" w:eastAsia="es-ES"/>
    </w:rPr>
  </w:style>
  <w:style w:type="paragraph" w:customStyle="1" w:styleId="xl64">
    <w:name w:val="xl64"/>
    <w:basedOn w:val="Normal"/>
    <w:rsid w:val="00184C27"/>
    <w:pPr>
      <w:spacing w:before="100" w:beforeAutospacing="1" w:after="100" w:afterAutospacing="1"/>
      <w:jc w:val="left"/>
      <w:textAlignment w:val="center"/>
    </w:pPr>
    <w:rPr>
      <w:rFonts w:eastAsia="Times New Roman"/>
      <w:bCs w:val="0"/>
      <w:color w:val="000000"/>
      <w:sz w:val="18"/>
      <w:szCs w:val="18"/>
      <w:lang w:val="es-ES" w:eastAsia="es-ES"/>
    </w:rPr>
  </w:style>
  <w:style w:type="paragraph" w:customStyle="1" w:styleId="xl65">
    <w:name w:val="xl65"/>
    <w:basedOn w:val="Normal"/>
    <w:rsid w:val="00184C27"/>
    <w:pPr>
      <w:spacing w:before="100" w:beforeAutospacing="1" w:after="100" w:afterAutospacing="1"/>
      <w:jc w:val="left"/>
    </w:pPr>
    <w:rPr>
      <w:rFonts w:eastAsia="Times New Roman"/>
      <w:bCs w:val="0"/>
      <w:color w:val="000000"/>
      <w:sz w:val="18"/>
      <w:szCs w:val="18"/>
      <w:lang w:val="es-ES" w:eastAsia="es-ES"/>
    </w:rPr>
  </w:style>
  <w:style w:type="paragraph" w:customStyle="1" w:styleId="xl66">
    <w:name w:val="xl66"/>
    <w:basedOn w:val="Normal"/>
    <w:rsid w:val="00184C27"/>
    <w:pPr>
      <w:spacing w:before="100" w:beforeAutospacing="1" w:after="100" w:afterAutospacing="1"/>
      <w:jc w:val="left"/>
      <w:textAlignment w:val="center"/>
    </w:pPr>
    <w:rPr>
      <w:rFonts w:ascii="Verdana" w:eastAsia="Times New Roman" w:hAnsi="Verdana" w:cs="Times New Roman"/>
      <w:b/>
      <w:color w:val="000000"/>
      <w:sz w:val="27"/>
      <w:szCs w:val="27"/>
      <w:lang w:val="es-ES" w:eastAsia="es-ES"/>
    </w:rPr>
  </w:style>
  <w:style w:type="paragraph" w:customStyle="1" w:styleId="xl67">
    <w:name w:val="xl67"/>
    <w:basedOn w:val="Normal"/>
    <w:rsid w:val="00184C27"/>
    <w:pPr>
      <w:spacing w:before="100" w:beforeAutospacing="1" w:after="100" w:afterAutospacing="1"/>
      <w:jc w:val="center"/>
    </w:pPr>
    <w:rPr>
      <w:rFonts w:eastAsia="Times New Roman"/>
      <w:bCs w:val="0"/>
      <w:sz w:val="24"/>
      <w:szCs w:val="24"/>
      <w:lang w:val="es-ES" w:eastAsia="es-ES"/>
    </w:rPr>
  </w:style>
  <w:style w:type="paragraph" w:customStyle="1" w:styleId="xl68">
    <w:name w:val="xl68"/>
    <w:basedOn w:val="Normal"/>
    <w:rsid w:val="00184C27"/>
    <w:pPr>
      <w:spacing w:before="100" w:beforeAutospacing="1" w:after="100" w:afterAutospacing="1"/>
      <w:jc w:val="left"/>
      <w:textAlignment w:val="center"/>
    </w:pPr>
    <w:rPr>
      <w:rFonts w:eastAsia="Times New Roman"/>
      <w:bCs w:val="0"/>
      <w:sz w:val="24"/>
      <w:szCs w:val="24"/>
      <w:lang w:val="es-ES" w:eastAsia="es-ES"/>
    </w:rPr>
  </w:style>
  <w:style w:type="paragraph" w:customStyle="1" w:styleId="xl69">
    <w:name w:val="xl69"/>
    <w:basedOn w:val="Normal"/>
    <w:rsid w:val="00184C27"/>
    <w:pPr>
      <w:pBdr>
        <w:top w:val="single" w:sz="8" w:space="0" w:color="666666"/>
        <w:left w:val="single" w:sz="8" w:space="0" w:color="666666"/>
        <w:bottom w:val="single" w:sz="8" w:space="0" w:color="666666"/>
        <w:right w:val="single" w:sz="8" w:space="0" w:color="666666"/>
      </w:pBdr>
      <w:spacing w:before="100" w:beforeAutospacing="1" w:after="100" w:afterAutospacing="1"/>
      <w:jc w:val="center"/>
      <w:textAlignment w:val="center"/>
    </w:pPr>
    <w:rPr>
      <w:rFonts w:eastAsia="Times New Roman"/>
      <w:bCs w:val="0"/>
      <w:sz w:val="24"/>
      <w:szCs w:val="24"/>
      <w:lang w:val="es-ES" w:eastAsia="es-ES"/>
    </w:rPr>
  </w:style>
  <w:style w:type="paragraph" w:customStyle="1" w:styleId="xl70">
    <w:name w:val="xl70"/>
    <w:basedOn w:val="Normal"/>
    <w:rsid w:val="00184C27"/>
    <w:pPr>
      <w:spacing w:before="100" w:beforeAutospacing="1" w:after="100" w:afterAutospacing="1"/>
      <w:ind w:firstLineChars="100" w:firstLine="100"/>
      <w:jc w:val="left"/>
      <w:textAlignment w:val="center"/>
    </w:pPr>
    <w:rPr>
      <w:rFonts w:eastAsia="Times New Roman"/>
      <w:bCs w:val="0"/>
      <w:color w:val="000000"/>
      <w:sz w:val="20"/>
      <w:szCs w:val="20"/>
      <w:lang w:val="es-ES" w:eastAsia="es-ES"/>
    </w:rPr>
  </w:style>
  <w:style w:type="paragraph" w:customStyle="1" w:styleId="xl71">
    <w:name w:val="xl71"/>
    <w:basedOn w:val="Normal"/>
    <w:rsid w:val="00184C27"/>
    <w:pPr>
      <w:spacing w:before="100" w:beforeAutospacing="1" w:after="100" w:afterAutospacing="1"/>
      <w:jc w:val="center"/>
      <w:textAlignment w:val="center"/>
    </w:pPr>
    <w:rPr>
      <w:rFonts w:eastAsia="Times New Roman"/>
      <w:bCs w:val="0"/>
      <w:sz w:val="24"/>
      <w:szCs w:val="24"/>
      <w:lang w:val="es-ES" w:eastAsia="es-ES"/>
    </w:rPr>
  </w:style>
  <w:style w:type="paragraph" w:customStyle="1" w:styleId="xl72">
    <w:name w:val="xl72"/>
    <w:basedOn w:val="Normal"/>
    <w:rsid w:val="00184C27"/>
    <w:pPr>
      <w:spacing w:before="100" w:beforeAutospacing="1" w:after="100" w:afterAutospacing="1"/>
      <w:jc w:val="left"/>
      <w:textAlignment w:val="center"/>
    </w:pPr>
    <w:rPr>
      <w:rFonts w:eastAsia="Times New Roman"/>
      <w:bCs w:val="0"/>
      <w:i/>
      <w:iCs/>
      <w:color w:val="000000"/>
      <w:sz w:val="18"/>
      <w:szCs w:val="18"/>
      <w:lang w:val="es-ES" w:eastAsia="es-ES"/>
    </w:rPr>
  </w:style>
  <w:style w:type="paragraph" w:customStyle="1" w:styleId="xl73">
    <w:name w:val="xl73"/>
    <w:basedOn w:val="Normal"/>
    <w:rsid w:val="00184C27"/>
    <w:pPr>
      <w:spacing w:before="100" w:beforeAutospacing="1" w:after="100" w:afterAutospacing="1"/>
      <w:jc w:val="center"/>
      <w:textAlignment w:val="center"/>
    </w:pPr>
    <w:rPr>
      <w:rFonts w:eastAsia="Times New Roman"/>
      <w:bCs w:val="0"/>
      <w:color w:val="000000"/>
      <w:sz w:val="18"/>
      <w:szCs w:val="18"/>
      <w:lang w:val="es-ES" w:eastAsia="es-ES"/>
    </w:rPr>
  </w:style>
  <w:style w:type="paragraph" w:customStyle="1" w:styleId="xl74">
    <w:name w:val="xl74"/>
    <w:basedOn w:val="Normal"/>
    <w:rsid w:val="00184C27"/>
    <w:pPr>
      <w:spacing w:before="100" w:beforeAutospacing="1" w:after="100" w:afterAutospacing="1"/>
      <w:jc w:val="left"/>
      <w:textAlignment w:val="center"/>
    </w:pPr>
    <w:rPr>
      <w:rFonts w:ascii="Verdana" w:eastAsia="Times New Roman" w:hAnsi="Verdana" w:cs="Times New Roman"/>
      <w:b/>
      <w:color w:val="000000"/>
      <w:sz w:val="28"/>
      <w:szCs w:val="28"/>
      <w:lang w:val="es-ES" w:eastAsia="es-ES"/>
    </w:rPr>
  </w:style>
  <w:style w:type="paragraph" w:customStyle="1" w:styleId="xl75">
    <w:name w:val="xl75"/>
    <w:basedOn w:val="Normal"/>
    <w:rsid w:val="00184C27"/>
    <w:pPr>
      <w:spacing w:before="100" w:beforeAutospacing="1" w:after="100" w:afterAutospacing="1"/>
      <w:jc w:val="left"/>
      <w:textAlignment w:val="center"/>
    </w:pPr>
    <w:rPr>
      <w:rFonts w:ascii="Verdana" w:eastAsia="Times New Roman" w:hAnsi="Verdana" w:cs="Times New Roman"/>
      <w:b/>
      <w:color w:val="000000"/>
      <w:sz w:val="20"/>
      <w:szCs w:val="20"/>
      <w:lang w:val="es-ES" w:eastAsia="es-ES"/>
    </w:rPr>
  </w:style>
  <w:style w:type="paragraph" w:customStyle="1" w:styleId="xl76">
    <w:name w:val="xl76"/>
    <w:basedOn w:val="Normal"/>
    <w:rsid w:val="00184C27"/>
    <w:pPr>
      <w:spacing w:before="100" w:beforeAutospacing="1" w:after="100" w:afterAutospacing="1"/>
      <w:jc w:val="left"/>
    </w:pPr>
    <w:rPr>
      <w:rFonts w:ascii="Times New Roman" w:eastAsia="Times New Roman" w:hAnsi="Times New Roman" w:cs="Times New Roman"/>
      <w:bCs w:val="0"/>
      <w:sz w:val="20"/>
      <w:szCs w:val="20"/>
      <w:lang w:val="es-ES" w:eastAsia="es-ES"/>
    </w:rPr>
  </w:style>
  <w:style w:type="paragraph" w:customStyle="1" w:styleId="xl77">
    <w:name w:val="xl77"/>
    <w:basedOn w:val="Normal"/>
    <w:rsid w:val="00184C27"/>
    <w:pPr>
      <w:spacing w:before="100" w:beforeAutospacing="1" w:after="100" w:afterAutospacing="1"/>
      <w:jc w:val="left"/>
      <w:textAlignment w:val="center"/>
    </w:pPr>
    <w:rPr>
      <w:rFonts w:eastAsia="Times New Roman"/>
      <w:bCs w:val="0"/>
      <w:color w:val="222222"/>
      <w:sz w:val="20"/>
      <w:szCs w:val="20"/>
      <w:lang w:val="es-ES" w:eastAsia="es-ES"/>
    </w:rPr>
  </w:style>
  <w:style w:type="paragraph" w:customStyle="1" w:styleId="xl78">
    <w:name w:val="xl78"/>
    <w:basedOn w:val="Normal"/>
    <w:rsid w:val="00184C27"/>
    <w:pPr>
      <w:shd w:val="clear" w:color="000000" w:fill="92D050"/>
      <w:spacing w:before="100" w:beforeAutospacing="1" w:after="100" w:afterAutospacing="1"/>
      <w:jc w:val="left"/>
      <w:textAlignment w:val="center"/>
    </w:pPr>
    <w:rPr>
      <w:rFonts w:ascii="Verdana" w:eastAsia="Times New Roman" w:hAnsi="Verdana" w:cs="Times New Roman"/>
      <w:b/>
      <w:color w:val="000000"/>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5364">
      <w:bodyDiv w:val="1"/>
      <w:marLeft w:val="0"/>
      <w:marRight w:val="0"/>
      <w:marTop w:val="0"/>
      <w:marBottom w:val="0"/>
      <w:divBdr>
        <w:top w:val="none" w:sz="0" w:space="0" w:color="auto"/>
        <w:left w:val="none" w:sz="0" w:space="0" w:color="auto"/>
        <w:bottom w:val="none" w:sz="0" w:space="0" w:color="auto"/>
        <w:right w:val="none" w:sz="0" w:space="0" w:color="auto"/>
      </w:divBdr>
    </w:div>
    <w:div w:id="446320255">
      <w:bodyDiv w:val="1"/>
      <w:marLeft w:val="0"/>
      <w:marRight w:val="0"/>
      <w:marTop w:val="0"/>
      <w:marBottom w:val="0"/>
      <w:divBdr>
        <w:top w:val="none" w:sz="0" w:space="0" w:color="auto"/>
        <w:left w:val="none" w:sz="0" w:space="0" w:color="auto"/>
        <w:bottom w:val="none" w:sz="0" w:space="0" w:color="auto"/>
        <w:right w:val="none" w:sz="0" w:space="0" w:color="auto"/>
      </w:divBdr>
    </w:div>
    <w:div w:id="726218793">
      <w:bodyDiv w:val="1"/>
      <w:marLeft w:val="0"/>
      <w:marRight w:val="0"/>
      <w:marTop w:val="0"/>
      <w:marBottom w:val="0"/>
      <w:divBdr>
        <w:top w:val="none" w:sz="0" w:space="0" w:color="auto"/>
        <w:left w:val="none" w:sz="0" w:space="0" w:color="auto"/>
        <w:bottom w:val="none" w:sz="0" w:space="0" w:color="auto"/>
        <w:right w:val="none" w:sz="0" w:space="0" w:color="auto"/>
      </w:divBdr>
      <w:divsChild>
        <w:div w:id="914628154">
          <w:marLeft w:val="0"/>
          <w:marRight w:val="0"/>
          <w:marTop w:val="0"/>
          <w:marBottom w:val="0"/>
          <w:divBdr>
            <w:top w:val="none" w:sz="0" w:space="0" w:color="auto"/>
            <w:left w:val="none" w:sz="0" w:space="0" w:color="auto"/>
            <w:bottom w:val="none" w:sz="0" w:space="0" w:color="auto"/>
            <w:right w:val="none" w:sz="0" w:space="0" w:color="auto"/>
          </w:divBdr>
          <w:divsChild>
            <w:div w:id="2014919633">
              <w:marLeft w:val="0"/>
              <w:marRight w:val="0"/>
              <w:marTop w:val="0"/>
              <w:marBottom w:val="0"/>
              <w:divBdr>
                <w:top w:val="none" w:sz="0" w:space="0" w:color="auto"/>
                <w:left w:val="none" w:sz="0" w:space="0" w:color="auto"/>
                <w:bottom w:val="none" w:sz="0" w:space="0" w:color="auto"/>
                <w:right w:val="none" w:sz="0" w:space="0" w:color="auto"/>
              </w:divBdr>
              <w:divsChild>
                <w:div w:id="467169073">
                  <w:marLeft w:val="0"/>
                  <w:marRight w:val="0"/>
                  <w:marTop w:val="0"/>
                  <w:marBottom w:val="0"/>
                  <w:divBdr>
                    <w:top w:val="none" w:sz="0" w:space="0" w:color="auto"/>
                    <w:left w:val="none" w:sz="0" w:space="0" w:color="auto"/>
                    <w:bottom w:val="none" w:sz="0" w:space="0" w:color="auto"/>
                    <w:right w:val="none" w:sz="0" w:space="0" w:color="auto"/>
                  </w:divBdr>
                  <w:divsChild>
                    <w:div w:id="1375929666">
                      <w:marLeft w:val="0"/>
                      <w:marRight w:val="0"/>
                      <w:marTop w:val="0"/>
                      <w:marBottom w:val="0"/>
                      <w:divBdr>
                        <w:top w:val="none" w:sz="0" w:space="0" w:color="auto"/>
                        <w:left w:val="none" w:sz="0" w:space="0" w:color="auto"/>
                        <w:bottom w:val="none" w:sz="0" w:space="0" w:color="auto"/>
                        <w:right w:val="none" w:sz="0" w:space="0" w:color="auto"/>
                      </w:divBdr>
                      <w:divsChild>
                        <w:div w:id="4531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13558">
      <w:bodyDiv w:val="1"/>
      <w:marLeft w:val="0"/>
      <w:marRight w:val="0"/>
      <w:marTop w:val="0"/>
      <w:marBottom w:val="0"/>
      <w:divBdr>
        <w:top w:val="none" w:sz="0" w:space="0" w:color="auto"/>
        <w:left w:val="none" w:sz="0" w:space="0" w:color="auto"/>
        <w:bottom w:val="none" w:sz="0" w:space="0" w:color="auto"/>
        <w:right w:val="none" w:sz="0" w:space="0" w:color="auto"/>
      </w:divBdr>
    </w:div>
    <w:div w:id="1311710790">
      <w:bodyDiv w:val="1"/>
      <w:marLeft w:val="0"/>
      <w:marRight w:val="0"/>
      <w:marTop w:val="0"/>
      <w:marBottom w:val="0"/>
      <w:divBdr>
        <w:top w:val="none" w:sz="0" w:space="0" w:color="auto"/>
        <w:left w:val="none" w:sz="0" w:space="0" w:color="auto"/>
        <w:bottom w:val="none" w:sz="0" w:space="0" w:color="auto"/>
        <w:right w:val="none" w:sz="0" w:space="0" w:color="auto"/>
      </w:divBdr>
    </w:div>
    <w:div w:id="1580560408">
      <w:bodyDiv w:val="1"/>
      <w:marLeft w:val="0"/>
      <w:marRight w:val="0"/>
      <w:marTop w:val="0"/>
      <w:marBottom w:val="0"/>
      <w:divBdr>
        <w:top w:val="none" w:sz="0" w:space="0" w:color="auto"/>
        <w:left w:val="none" w:sz="0" w:space="0" w:color="auto"/>
        <w:bottom w:val="none" w:sz="0" w:space="0" w:color="auto"/>
        <w:right w:val="none" w:sz="0" w:space="0" w:color="auto"/>
      </w:divBdr>
    </w:div>
    <w:div w:id="18839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salu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arth.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E0A7-9310-462F-845B-A18CDFBE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6335</Words>
  <Characters>36116</Characters>
  <Application>Microsoft Office Word</Application>
  <DocSecurity>0</DocSecurity>
  <Lines>300</Lines>
  <Paragraphs>84</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
      <vt:lpstr/>
      <vt:lpstr/>
    </vt:vector>
  </TitlesOfParts>
  <Company>Hewlett-Packard</Company>
  <LinksUpToDate>false</LinksUpToDate>
  <CharactersWithSpaces>42367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chn off33</cp:lastModifiedBy>
  <cp:revision>5</cp:revision>
  <cp:lastPrinted>2016-02-12T18:28:00Z</cp:lastPrinted>
  <dcterms:created xsi:type="dcterms:W3CDTF">2021-05-18T20:55:00Z</dcterms:created>
  <dcterms:modified xsi:type="dcterms:W3CDTF">2021-06-24T07:57:00Z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http://csl.mendeley.com/styles/8405973/american-medical-association</vt:lpwstr>
  </property>
  <property fmtid="{D5CDD505-2E9C-101B-9397-08002B2CF9AE}" pid="3" name="Mendeley Recent Style Name 0_1">
    <vt:lpwstr>American Medical Association - Iván Dueñas E. - Ivan Duenas, MD, MPH, PhD - Ivan Dueñas Espín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http://www.zotero.org/styles/archives-of-cardiovascular-diseases</vt:lpwstr>
  </property>
  <property fmtid="{D5CDD505-2E9C-101B-9397-08002B2CF9AE}" pid="7" name="Mendeley Recent Style Name 2_1">
    <vt:lpwstr>Archives of Cardiovascular Diseases</vt:lpwstr>
  </property>
  <property fmtid="{D5CDD505-2E9C-101B-9397-08002B2CF9AE}" pid="8" name="Mendeley Recent Style Id 3_1">
    <vt:lpwstr>http://csl.mendeley.com/styles/545086211/elsevier-with-titles-2</vt:lpwstr>
  </property>
  <property fmtid="{D5CDD505-2E9C-101B-9397-08002B2CF9AE}" pid="9" name="Mendeley Recent Style Name 3_1">
    <vt:lpwstr>Elsevier (numeric, with titles) - Iván Dueñas Espín</vt:lpwstr>
  </property>
  <property fmtid="{D5CDD505-2E9C-101B-9397-08002B2CF9AE}" pid="10" name="Mendeley Recent Style Id 4_1">
    <vt:lpwstr>http://csl.mendeley.com/styles/8405973/elsevier-vancouver-4</vt:lpwstr>
  </property>
  <property fmtid="{D5CDD505-2E9C-101B-9397-08002B2CF9AE}" pid="11" name="Mendeley Recent Style Name 4_1">
    <vt:lpwstr>Elsevier Vancouver - Iván Dueñas E.</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http://csl.mendeley.com/styles/8405973/vancouver-32</vt:lpwstr>
  </property>
  <property fmtid="{D5CDD505-2E9C-101B-9397-08002B2CF9AE}" pid="17" name="Mendeley Recent Style Name 7_1">
    <vt:lpwstr>Vancouver - Ivan Dueñas Espín, MD, MPH, PhD</vt:lpwstr>
  </property>
  <property fmtid="{D5CDD505-2E9C-101B-9397-08002B2CF9AE}" pid="18" name="Mendeley Recent Style Id 8_1">
    <vt:lpwstr>http://csl.mendeley.com/styles/8405973/vancouver-23</vt:lpwstr>
  </property>
  <property fmtid="{D5CDD505-2E9C-101B-9397-08002B2CF9AE}" pid="19" name="Mendeley Recent Style Name 8_1">
    <vt:lpwstr>Vancouver - Ivan Dueñas Espín, MD, MPH, PhD</vt:lpwstr>
  </property>
  <property fmtid="{D5CDD505-2E9C-101B-9397-08002B2CF9AE}" pid="20" name="Mendeley Recent Style Id 9_1">
    <vt:lpwstr>http://csl.mendeley.com/styles/8405973/vancouver-221</vt:lpwstr>
  </property>
  <property fmtid="{D5CDD505-2E9C-101B-9397-08002B2CF9AE}" pid="21" name="Mendeley Recent Style Name 9_1">
    <vt:lpwstr>Vancouver - Ivan Dueñas Espín, MD, MPH, PhD</vt:lpwstr>
  </property>
  <property fmtid="{D5CDD505-2E9C-101B-9397-08002B2CF9AE}" pid="22" name="Mendeley Document_1">
    <vt:lpwstr>True</vt:lpwstr>
  </property>
  <property fmtid="{D5CDD505-2E9C-101B-9397-08002B2CF9AE}" pid="23" name="Mendeley Unique User Id_1">
    <vt:lpwstr>4150d891-0c39-3252-8a93-b460ef9f743f</vt:lpwstr>
  </property>
  <property fmtid="{D5CDD505-2E9C-101B-9397-08002B2CF9AE}" pid="24" name="Mendeley Citation Style_1">
    <vt:lpwstr>http://csl.mendeley.com/styles/8405973/vancouver-23</vt:lpwstr>
  </property>
</Properties>
</file>