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3BE00" w14:textId="4BC72F6E" w:rsidR="00774F48" w:rsidRPr="00A5393D" w:rsidRDefault="00A5393D" w:rsidP="00EB586C">
      <w:pPr>
        <w:widowControl w:val="0"/>
        <w:rPr>
          <w:b/>
          <w:bCs/>
        </w:rPr>
      </w:pPr>
      <w:r w:rsidRPr="00A5393D">
        <w:rPr>
          <w:b/>
          <w:bCs/>
        </w:rPr>
        <w:t xml:space="preserve">S3 Table. The proportion of </w:t>
      </w:r>
      <w:r w:rsidR="000343E4">
        <w:rPr>
          <w:b/>
          <w:bCs/>
        </w:rPr>
        <w:t>m</w:t>
      </w:r>
      <w:r w:rsidRPr="00A5393D">
        <w:rPr>
          <w:b/>
          <w:bCs/>
        </w:rPr>
        <w:t>issing values in each group</w:t>
      </w:r>
    </w:p>
    <w:tbl>
      <w:tblPr>
        <w:tblStyle w:val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2379"/>
        <w:gridCol w:w="2972"/>
      </w:tblGrid>
      <w:tr w:rsidR="006D6895" w:rsidRPr="00A5393D" w14:paraId="67259F92" w14:textId="77777777" w:rsidTr="00764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7" w:type="dxa"/>
            <w:gridSpan w:val="3"/>
          </w:tcPr>
          <w:p w14:paraId="548E0368" w14:textId="355E40EA" w:rsidR="006D6895" w:rsidRPr="00A5393D" w:rsidRDefault="006D6895" w:rsidP="00A5393D">
            <w:pPr>
              <w:widowControl w:val="0"/>
              <w:spacing w:before="240"/>
            </w:pPr>
            <w:bookmarkStart w:id="0" w:name="_Hlk10571548"/>
            <w:r w:rsidRPr="00A5393D">
              <w:t>Missing values</w:t>
            </w:r>
          </w:p>
        </w:tc>
      </w:tr>
      <w:tr w:rsidR="00A5393D" w:rsidRPr="00A5393D" w14:paraId="6CC110DF" w14:textId="77777777" w:rsidTr="006D6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tcBorders>
              <w:top w:val="none" w:sz="0" w:space="0" w:color="auto"/>
              <w:bottom w:val="none" w:sz="0" w:space="0" w:color="auto"/>
            </w:tcBorders>
          </w:tcPr>
          <w:p w14:paraId="591EFD17" w14:textId="77777777" w:rsidR="00A5393D" w:rsidRPr="00A5393D" w:rsidRDefault="00A5393D" w:rsidP="00A5393D">
            <w:pPr>
              <w:widowControl w:val="0"/>
              <w:spacing w:before="240"/>
            </w:pPr>
            <w:r w:rsidRPr="00A5393D">
              <w:rPr>
                <w:rFonts w:hint="eastAsia"/>
              </w:rPr>
              <w:t>V</w:t>
            </w:r>
            <w:r w:rsidRPr="00A5393D">
              <w:t xml:space="preserve">ariable </w:t>
            </w:r>
          </w:p>
        </w:tc>
        <w:tc>
          <w:tcPr>
            <w:tcW w:w="2379" w:type="dxa"/>
            <w:tcBorders>
              <w:top w:val="none" w:sz="0" w:space="0" w:color="auto"/>
              <w:bottom w:val="none" w:sz="0" w:space="0" w:color="auto"/>
            </w:tcBorders>
          </w:tcPr>
          <w:p w14:paraId="14E04B3A" w14:textId="77777777" w:rsidR="00A5393D" w:rsidRPr="00A5393D" w:rsidRDefault="00A5393D" w:rsidP="00A5393D">
            <w:pPr>
              <w:widowControl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3D">
              <w:t>Low BMI group</w:t>
            </w:r>
          </w:p>
          <w:p w14:paraId="7BB2AAD0" w14:textId="77777777" w:rsidR="00A5393D" w:rsidRPr="00A5393D" w:rsidRDefault="00A5393D" w:rsidP="00A5393D">
            <w:pPr>
              <w:widowControl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3D">
              <w:t>n, (%)</w:t>
            </w:r>
          </w:p>
        </w:tc>
        <w:tc>
          <w:tcPr>
            <w:tcW w:w="2972" w:type="dxa"/>
            <w:tcBorders>
              <w:top w:val="none" w:sz="0" w:space="0" w:color="auto"/>
              <w:bottom w:val="none" w:sz="0" w:space="0" w:color="auto"/>
            </w:tcBorders>
          </w:tcPr>
          <w:p w14:paraId="104FD6FD" w14:textId="77777777" w:rsidR="00A5393D" w:rsidRPr="00A5393D" w:rsidRDefault="00A5393D" w:rsidP="00A5393D">
            <w:pPr>
              <w:widowControl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3D">
              <w:t>Non-low BMI group</w:t>
            </w:r>
          </w:p>
          <w:p w14:paraId="61F77143" w14:textId="77777777" w:rsidR="00A5393D" w:rsidRPr="00A5393D" w:rsidRDefault="00A5393D" w:rsidP="00A5393D">
            <w:pPr>
              <w:widowControl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3D">
              <w:t>n, (%)</w:t>
            </w:r>
          </w:p>
        </w:tc>
      </w:tr>
      <w:tr w:rsidR="00A5393D" w:rsidRPr="00A5393D" w14:paraId="79ACFE3A" w14:textId="77777777" w:rsidTr="006D6895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14:paraId="45B12CAE" w14:textId="77777777" w:rsidR="00A5393D" w:rsidRPr="00A5393D" w:rsidRDefault="00A5393D" w:rsidP="00A5393D">
            <w:pPr>
              <w:widowControl w:val="0"/>
              <w:spacing w:before="240"/>
            </w:pPr>
            <w:r w:rsidRPr="00A5393D">
              <w:rPr>
                <w:rFonts w:hint="eastAsia"/>
              </w:rPr>
              <w:t>A</w:t>
            </w:r>
            <w:r w:rsidRPr="00A5393D">
              <w:t>ge</w:t>
            </w:r>
          </w:p>
        </w:tc>
        <w:tc>
          <w:tcPr>
            <w:tcW w:w="2379" w:type="dxa"/>
          </w:tcPr>
          <w:p w14:paraId="390BD7D1" w14:textId="77777777" w:rsidR="00A5393D" w:rsidRPr="00A5393D" w:rsidRDefault="00A5393D" w:rsidP="00A5393D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3D">
              <w:rPr>
                <w:rFonts w:hint="eastAsia"/>
              </w:rPr>
              <w:t>0</w:t>
            </w:r>
          </w:p>
        </w:tc>
        <w:tc>
          <w:tcPr>
            <w:tcW w:w="2972" w:type="dxa"/>
          </w:tcPr>
          <w:p w14:paraId="16634724" w14:textId="77777777" w:rsidR="00A5393D" w:rsidRPr="00A5393D" w:rsidRDefault="00A5393D" w:rsidP="00A5393D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3D">
              <w:rPr>
                <w:rFonts w:hint="eastAsia"/>
              </w:rPr>
              <w:t>0</w:t>
            </w:r>
          </w:p>
        </w:tc>
      </w:tr>
      <w:tr w:rsidR="00A5393D" w:rsidRPr="00A5393D" w14:paraId="23036AA5" w14:textId="77777777" w:rsidTr="006D6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tcBorders>
              <w:top w:val="none" w:sz="0" w:space="0" w:color="auto"/>
              <w:bottom w:val="none" w:sz="0" w:space="0" w:color="auto"/>
            </w:tcBorders>
          </w:tcPr>
          <w:p w14:paraId="7CA1E237" w14:textId="77777777" w:rsidR="00A5393D" w:rsidRPr="00A5393D" w:rsidRDefault="00A5393D" w:rsidP="00A5393D">
            <w:pPr>
              <w:widowControl w:val="0"/>
              <w:spacing w:before="240"/>
            </w:pPr>
            <w:r w:rsidRPr="00A5393D">
              <w:t>Sex</w:t>
            </w:r>
          </w:p>
        </w:tc>
        <w:tc>
          <w:tcPr>
            <w:tcW w:w="2379" w:type="dxa"/>
            <w:tcBorders>
              <w:top w:val="none" w:sz="0" w:space="0" w:color="auto"/>
              <w:bottom w:val="none" w:sz="0" w:space="0" w:color="auto"/>
            </w:tcBorders>
          </w:tcPr>
          <w:p w14:paraId="69704E97" w14:textId="77777777" w:rsidR="00A5393D" w:rsidRPr="00A5393D" w:rsidRDefault="00A5393D" w:rsidP="00A5393D">
            <w:pPr>
              <w:widowControl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3D">
              <w:rPr>
                <w:rFonts w:hint="eastAsia"/>
              </w:rPr>
              <w:t>0</w:t>
            </w:r>
          </w:p>
        </w:tc>
        <w:tc>
          <w:tcPr>
            <w:tcW w:w="2972" w:type="dxa"/>
            <w:tcBorders>
              <w:top w:val="none" w:sz="0" w:space="0" w:color="auto"/>
              <w:bottom w:val="none" w:sz="0" w:space="0" w:color="auto"/>
            </w:tcBorders>
          </w:tcPr>
          <w:p w14:paraId="1483E561" w14:textId="77777777" w:rsidR="00A5393D" w:rsidRPr="00A5393D" w:rsidRDefault="00A5393D" w:rsidP="00A5393D">
            <w:pPr>
              <w:widowControl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3D">
              <w:rPr>
                <w:rFonts w:hint="eastAsia"/>
              </w:rPr>
              <w:t>0</w:t>
            </w:r>
          </w:p>
        </w:tc>
      </w:tr>
      <w:tr w:rsidR="00A5393D" w:rsidRPr="00A5393D" w14:paraId="41E303F9" w14:textId="77777777" w:rsidTr="006D6895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14:paraId="551EFC74" w14:textId="77777777" w:rsidR="00A5393D" w:rsidRPr="00A5393D" w:rsidRDefault="00A5393D" w:rsidP="00A5393D">
            <w:pPr>
              <w:widowControl w:val="0"/>
              <w:spacing w:before="240"/>
            </w:pPr>
            <w:r w:rsidRPr="00A5393D">
              <w:rPr>
                <w:rFonts w:hint="eastAsia"/>
              </w:rPr>
              <w:t>A</w:t>
            </w:r>
            <w:r w:rsidRPr="00A5393D">
              <w:t>PACHE Ⅱ</w:t>
            </w:r>
            <w:r w:rsidRPr="00A5393D">
              <w:rPr>
                <w:rFonts w:hint="eastAsia"/>
              </w:rPr>
              <w:t xml:space="preserve"> </w:t>
            </w:r>
            <w:r w:rsidRPr="00A5393D">
              <w:t>scores</w:t>
            </w:r>
          </w:p>
        </w:tc>
        <w:tc>
          <w:tcPr>
            <w:tcW w:w="2379" w:type="dxa"/>
          </w:tcPr>
          <w:p w14:paraId="20C7D70B" w14:textId="77777777" w:rsidR="00A5393D" w:rsidRPr="00A5393D" w:rsidRDefault="00A5393D" w:rsidP="00A5393D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3D">
              <w:rPr>
                <w:rFonts w:hint="eastAsia"/>
              </w:rPr>
              <w:t>6</w:t>
            </w:r>
            <w:r w:rsidRPr="00A5393D">
              <w:t xml:space="preserve"> (5.8)</w:t>
            </w:r>
          </w:p>
        </w:tc>
        <w:tc>
          <w:tcPr>
            <w:tcW w:w="2972" w:type="dxa"/>
          </w:tcPr>
          <w:p w14:paraId="2D917FDD" w14:textId="77777777" w:rsidR="00A5393D" w:rsidRPr="00A5393D" w:rsidRDefault="00A5393D" w:rsidP="00A5393D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3D">
              <w:rPr>
                <w:rFonts w:hint="eastAsia"/>
              </w:rPr>
              <w:t>4</w:t>
            </w:r>
            <w:r w:rsidRPr="00A5393D">
              <w:t>8 (10.8)</w:t>
            </w:r>
          </w:p>
        </w:tc>
      </w:tr>
      <w:tr w:rsidR="00A5393D" w:rsidRPr="00A5393D" w14:paraId="3E835EE1" w14:textId="77777777" w:rsidTr="006D6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tcBorders>
              <w:top w:val="none" w:sz="0" w:space="0" w:color="auto"/>
              <w:bottom w:val="none" w:sz="0" w:space="0" w:color="auto"/>
            </w:tcBorders>
          </w:tcPr>
          <w:p w14:paraId="3D1C3442" w14:textId="77777777" w:rsidR="00A5393D" w:rsidRPr="00A5393D" w:rsidRDefault="00A5393D" w:rsidP="00A5393D">
            <w:pPr>
              <w:widowControl w:val="0"/>
              <w:spacing w:before="240"/>
            </w:pPr>
            <w:r w:rsidRPr="00A5393D">
              <w:rPr>
                <w:rFonts w:hint="eastAsia"/>
              </w:rPr>
              <w:t>S</w:t>
            </w:r>
            <w:r w:rsidRPr="00A5393D">
              <w:t>OFA scores</w:t>
            </w:r>
          </w:p>
        </w:tc>
        <w:tc>
          <w:tcPr>
            <w:tcW w:w="2379" w:type="dxa"/>
            <w:tcBorders>
              <w:top w:val="none" w:sz="0" w:space="0" w:color="auto"/>
              <w:bottom w:val="none" w:sz="0" w:space="0" w:color="auto"/>
            </w:tcBorders>
          </w:tcPr>
          <w:p w14:paraId="7E0DA8C8" w14:textId="77777777" w:rsidR="00A5393D" w:rsidRPr="00A5393D" w:rsidRDefault="00A5393D" w:rsidP="00A5393D">
            <w:pPr>
              <w:widowControl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3D">
              <w:rPr>
                <w:rFonts w:hint="eastAsia"/>
              </w:rPr>
              <w:t>5</w:t>
            </w:r>
            <w:r w:rsidRPr="00A5393D">
              <w:t xml:space="preserve"> (4.9)</w:t>
            </w:r>
          </w:p>
        </w:tc>
        <w:tc>
          <w:tcPr>
            <w:tcW w:w="2972" w:type="dxa"/>
            <w:tcBorders>
              <w:top w:val="none" w:sz="0" w:space="0" w:color="auto"/>
              <w:bottom w:val="none" w:sz="0" w:space="0" w:color="auto"/>
            </w:tcBorders>
          </w:tcPr>
          <w:p w14:paraId="6D10F491" w14:textId="77777777" w:rsidR="00A5393D" w:rsidRPr="00A5393D" w:rsidRDefault="00A5393D" w:rsidP="00A5393D">
            <w:pPr>
              <w:widowControl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3D">
              <w:rPr>
                <w:rFonts w:hint="eastAsia"/>
              </w:rPr>
              <w:t>4</w:t>
            </w:r>
            <w:r w:rsidRPr="00A5393D">
              <w:t>6 (10.3)</w:t>
            </w:r>
          </w:p>
        </w:tc>
      </w:tr>
      <w:tr w:rsidR="00A5393D" w:rsidRPr="00A5393D" w14:paraId="6CAD9B97" w14:textId="77777777" w:rsidTr="006D6895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14:paraId="50DBAF7C" w14:textId="77777777" w:rsidR="00A5393D" w:rsidRPr="00A5393D" w:rsidRDefault="00A5393D" w:rsidP="00A5393D">
            <w:pPr>
              <w:widowControl w:val="0"/>
              <w:spacing w:before="240"/>
            </w:pPr>
            <w:r w:rsidRPr="00A5393D">
              <w:t>Shock</w:t>
            </w:r>
          </w:p>
        </w:tc>
        <w:tc>
          <w:tcPr>
            <w:tcW w:w="2379" w:type="dxa"/>
          </w:tcPr>
          <w:p w14:paraId="16E80868" w14:textId="77777777" w:rsidR="00A5393D" w:rsidRPr="00A5393D" w:rsidRDefault="00A5393D" w:rsidP="00A5393D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3D">
              <w:rPr>
                <w:rFonts w:hint="eastAsia"/>
              </w:rPr>
              <w:t>1</w:t>
            </w:r>
            <w:r w:rsidRPr="00A5393D">
              <w:t xml:space="preserve"> (1)</w:t>
            </w:r>
          </w:p>
        </w:tc>
        <w:tc>
          <w:tcPr>
            <w:tcW w:w="2972" w:type="dxa"/>
          </w:tcPr>
          <w:p w14:paraId="5E9747E2" w14:textId="77777777" w:rsidR="00A5393D" w:rsidRPr="00A5393D" w:rsidRDefault="00A5393D" w:rsidP="00A5393D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3D">
              <w:rPr>
                <w:rFonts w:hint="eastAsia"/>
              </w:rPr>
              <w:t>6</w:t>
            </w:r>
            <w:r w:rsidRPr="00A5393D">
              <w:t xml:space="preserve"> (1.3)</w:t>
            </w:r>
          </w:p>
        </w:tc>
      </w:tr>
      <w:tr w:rsidR="00A5393D" w:rsidRPr="00A5393D" w14:paraId="0B465EBF" w14:textId="77777777" w:rsidTr="006D6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tcBorders>
              <w:top w:val="none" w:sz="0" w:space="0" w:color="auto"/>
              <w:bottom w:val="none" w:sz="0" w:space="0" w:color="auto"/>
            </w:tcBorders>
          </w:tcPr>
          <w:p w14:paraId="5B36DEAC" w14:textId="77777777" w:rsidR="00A5393D" w:rsidRPr="00A5393D" w:rsidRDefault="00A5393D" w:rsidP="00A5393D">
            <w:pPr>
              <w:widowControl w:val="0"/>
              <w:spacing w:before="240"/>
            </w:pPr>
            <w:r w:rsidRPr="00A5393D">
              <w:t>Pre-existing conditions</w:t>
            </w:r>
          </w:p>
        </w:tc>
        <w:tc>
          <w:tcPr>
            <w:tcW w:w="2379" w:type="dxa"/>
            <w:tcBorders>
              <w:top w:val="none" w:sz="0" w:space="0" w:color="auto"/>
              <w:bottom w:val="none" w:sz="0" w:space="0" w:color="auto"/>
            </w:tcBorders>
          </w:tcPr>
          <w:p w14:paraId="63095F33" w14:textId="77777777" w:rsidR="00A5393D" w:rsidRPr="00A5393D" w:rsidRDefault="00A5393D" w:rsidP="00A5393D">
            <w:pPr>
              <w:widowControl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3D">
              <w:rPr>
                <w:rFonts w:hint="eastAsia"/>
              </w:rPr>
              <w:t>0</w:t>
            </w:r>
          </w:p>
        </w:tc>
        <w:tc>
          <w:tcPr>
            <w:tcW w:w="2972" w:type="dxa"/>
            <w:tcBorders>
              <w:top w:val="none" w:sz="0" w:space="0" w:color="auto"/>
              <w:bottom w:val="none" w:sz="0" w:space="0" w:color="auto"/>
            </w:tcBorders>
          </w:tcPr>
          <w:p w14:paraId="799604E3" w14:textId="77777777" w:rsidR="00A5393D" w:rsidRPr="00A5393D" w:rsidRDefault="00A5393D" w:rsidP="00A5393D">
            <w:pPr>
              <w:widowControl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3D">
              <w:rPr>
                <w:rFonts w:hint="eastAsia"/>
              </w:rPr>
              <w:t>0</w:t>
            </w:r>
          </w:p>
        </w:tc>
      </w:tr>
      <w:tr w:rsidR="00A5393D" w:rsidRPr="00A5393D" w14:paraId="3032D9D6" w14:textId="77777777" w:rsidTr="006D6895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14:paraId="25AD769E" w14:textId="3D4E04FE" w:rsidR="00A5393D" w:rsidRPr="00A5393D" w:rsidRDefault="00A5393D" w:rsidP="00A5393D">
            <w:pPr>
              <w:widowControl w:val="0"/>
              <w:spacing w:before="240"/>
            </w:pPr>
            <w:r w:rsidRPr="00A5393D">
              <w:rPr>
                <w:rFonts w:hint="eastAsia"/>
              </w:rPr>
              <w:t>L</w:t>
            </w:r>
            <w:r w:rsidRPr="00A5393D">
              <w:t>actate</w:t>
            </w:r>
            <w:r w:rsidR="000343E4">
              <w:t xml:space="preserve"> level</w:t>
            </w:r>
          </w:p>
        </w:tc>
        <w:tc>
          <w:tcPr>
            <w:tcW w:w="2379" w:type="dxa"/>
          </w:tcPr>
          <w:p w14:paraId="0AAC4BD7" w14:textId="77777777" w:rsidR="00A5393D" w:rsidRPr="00A5393D" w:rsidRDefault="00A5393D" w:rsidP="00A5393D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3D">
              <w:rPr>
                <w:rFonts w:hint="eastAsia"/>
              </w:rPr>
              <w:t>1</w:t>
            </w:r>
            <w:r w:rsidRPr="00A5393D">
              <w:t xml:space="preserve"> (1)</w:t>
            </w:r>
          </w:p>
        </w:tc>
        <w:tc>
          <w:tcPr>
            <w:tcW w:w="2972" w:type="dxa"/>
          </w:tcPr>
          <w:p w14:paraId="0EE632AD" w14:textId="77777777" w:rsidR="00A5393D" w:rsidRPr="00A5393D" w:rsidRDefault="00A5393D" w:rsidP="00A5393D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3D">
              <w:rPr>
                <w:rFonts w:hint="eastAsia"/>
              </w:rPr>
              <w:t>7</w:t>
            </w:r>
            <w:r w:rsidRPr="00A5393D">
              <w:t xml:space="preserve"> (1.6)</w:t>
            </w:r>
          </w:p>
        </w:tc>
      </w:tr>
    </w:tbl>
    <w:p w14:paraId="77591138" w14:textId="36FE4546" w:rsidR="005F171F" w:rsidRDefault="00563D13" w:rsidP="00A5393D">
      <w:pPr>
        <w:widowControl w:val="0"/>
        <w:spacing w:before="240"/>
      </w:pPr>
      <w:r>
        <w:t xml:space="preserve">Abbreviations: </w:t>
      </w:r>
      <w:r w:rsidRPr="00915379">
        <w:t>APACHE</w:t>
      </w:r>
      <w:r>
        <w:t>,</w:t>
      </w:r>
      <w:r w:rsidRPr="00452DA4">
        <w:t xml:space="preserve"> Acute Physiology and Chronic Health Evaluation</w:t>
      </w:r>
      <w:r>
        <w:t>;</w:t>
      </w:r>
      <w:r w:rsidRPr="00452DA4">
        <w:t xml:space="preserve"> </w:t>
      </w:r>
      <w:r w:rsidRPr="00915379">
        <w:t>BMI</w:t>
      </w:r>
      <w:r>
        <w:t>,</w:t>
      </w:r>
      <w:r w:rsidRPr="00452DA4">
        <w:t xml:space="preserve"> body mass index</w:t>
      </w:r>
      <w:r>
        <w:t>;</w:t>
      </w:r>
      <w:r w:rsidRPr="00452DA4">
        <w:t xml:space="preserve"> </w:t>
      </w:r>
      <w:r w:rsidRPr="00915379">
        <w:t>SOFA</w:t>
      </w:r>
      <w:r>
        <w:t xml:space="preserve">, </w:t>
      </w:r>
      <w:r w:rsidRPr="00452DA4">
        <w:t>Sequential Organ Failure Assessment</w:t>
      </w:r>
      <w:r>
        <w:t>.</w:t>
      </w:r>
      <w:bookmarkEnd w:id="0"/>
    </w:p>
    <w:p w14:paraId="53B45BD4" w14:textId="59B220A2" w:rsidR="00046E8C" w:rsidRPr="00A26B6E" w:rsidRDefault="00046E8C" w:rsidP="00046E8C">
      <w:pPr>
        <w:widowControl w:val="0"/>
        <w:spacing w:before="240"/>
        <w:ind w:firstLineChars="50" w:firstLine="120"/>
      </w:pPr>
      <w:r>
        <w:t>T</w:t>
      </w:r>
      <w:r w:rsidRPr="00046E8C">
        <w:t>o account for the signiﬁcant proportions of missing values for APACH</w:t>
      </w:r>
      <w:r w:rsidR="000343E4">
        <w:rPr>
          <w:rFonts w:hint="eastAsia"/>
        </w:rPr>
        <w:t>E</w:t>
      </w:r>
      <w:r w:rsidR="000343E4">
        <w:t xml:space="preserve"> II </w:t>
      </w:r>
      <w:r w:rsidRPr="00046E8C">
        <w:t>scores (9.9%) and SOFA scores (9.3%)</w:t>
      </w:r>
      <w:r w:rsidR="000343E4">
        <w:t xml:space="preserve">, which </w:t>
      </w:r>
      <w:r w:rsidRPr="00046E8C">
        <w:rPr>
          <w:rFonts w:hint="eastAsia"/>
        </w:rPr>
        <w:t>were assumed to be missing at random</w:t>
      </w:r>
      <w:r w:rsidR="000343E4">
        <w:t xml:space="preserve">, </w:t>
      </w:r>
      <w:r w:rsidRPr="00046E8C">
        <w:t>we also conducted our</w:t>
      </w:r>
      <w:r w:rsidR="000F4483">
        <w:t xml:space="preserve"> sensitivity </w:t>
      </w:r>
      <w:r w:rsidRPr="00046E8C">
        <w:t xml:space="preserve">analyses with multiple imputation. Multiple imputation through chained equations with predictive mean matching was employed to impute all missing values for the variables and outcomes in the dataset for </w:t>
      </w:r>
      <w:r w:rsidR="000343E4">
        <w:t xml:space="preserve">the </w:t>
      </w:r>
      <w:r w:rsidRPr="00046E8C">
        <w:t>logistic regression model. Multiple imputation generated 20 datasets with 20 iterations. As a result, relative to the non-low BMI group, the adjusted OR for</w:t>
      </w:r>
      <w:r w:rsidR="000343E4">
        <w:t xml:space="preserve"> </w:t>
      </w:r>
      <w:r w:rsidRPr="00046E8C">
        <w:t>28-day mortality in the low BMI group w</w:t>
      </w:r>
      <w:r w:rsidR="000343E4">
        <w:t>as</w:t>
      </w:r>
      <w:r w:rsidRPr="00046E8C">
        <w:t xml:space="preserve"> 2.3 (95% CI: 1.2–4.2).</w:t>
      </w:r>
    </w:p>
    <w:sectPr w:rsidR="00046E8C" w:rsidRPr="00A26B6E" w:rsidSect="00766610">
      <w:headerReference w:type="default" r:id="rId7"/>
      <w:pgSz w:w="11906" w:h="16838" w:code="9"/>
      <w:pgMar w:top="1418" w:right="1418" w:bottom="1418" w:left="1418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E5012" w14:textId="77777777" w:rsidR="00D201DF" w:rsidRDefault="00D201DF">
      <w:pPr>
        <w:spacing w:line="240" w:lineRule="auto"/>
      </w:pPr>
      <w:r>
        <w:separator/>
      </w:r>
    </w:p>
  </w:endnote>
  <w:endnote w:type="continuationSeparator" w:id="0">
    <w:p w14:paraId="48E00F5B" w14:textId="77777777" w:rsidR="00D201DF" w:rsidRDefault="00D201DF">
      <w:pPr>
        <w:spacing w:line="240" w:lineRule="auto"/>
      </w:pPr>
      <w:r>
        <w:continuationSeparator/>
      </w:r>
    </w:p>
  </w:endnote>
  <w:endnote w:type="continuationNotice" w:id="1">
    <w:p w14:paraId="37B92AC5" w14:textId="77777777" w:rsidR="00D201DF" w:rsidRDefault="00D201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BB85C" w14:textId="77777777" w:rsidR="00D201DF" w:rsidRDefault="00D201DF">
      <w:pPr>
        <w:spacing w:line="240" w:lineRule="auto"/>
      </w:pPr>
      <w:r>
        <w:separator/>
      </w:r>
    </w:p>
  </w:footnote>
  <w:footnote w:type="continuationSeparator" w:id="0">
    <w:p w14:paraId="0119957C" w14:textId="77777777" w:rsidR="00D201DF" w:rsidRDefault="00D201DF">
      <w:pPr>
        <w:spacing w:line="240" w:lineRule="auto"/>
      </w:pPr>
      <w:r>
        <w:continuationSeparator/>
      </w:r>
    </w:p>
  </w:footnote>
  <w:footnote w:type="continuationNotice" w:id="1">
    <w:p w14:paraId="054F1AE7" w14:textId="77777777" w:rsidR="00D201DF" w:rsidRDefault="00D201D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AC920" w14:textId="394C6F09" w:rsidR="002554ED" w:rsidRDefault="002554ED" w:rsidP="00EA54C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4467"/>
    <w:multiLevelType w:val="multilevel"/>
    <w:tmpl w:val="D6D2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81611"/>
    <w:multiLevelType w:val="multilevel"/>
    <w:tmpl w:val="9124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DA0885"/>
    <w:multiLevelType w:val="multilevel"/>
    <w:tmpl w:val="E83E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74F48"/>
    <w:rsid w:val="00016BA4"/>
    <w:rsid w:val="000343E4"/>
    <w:rsid w:val="00037450"/>
    <w:rsid w:val="0004220B"/>
    <w:rsid w:val="00046E8C"/>
    <w:rsid w:val="00050EB2"/>
    <w:rsid w:val="0006309E"/>
    <w:rsid w:val="000A7CFC"/>
    <w:rsid w:val="000C47AA"/>
    <w:rsid w:val="000E4B63"/>
    <w:rsid w:val="000F4483"/>
    <w:rsid w:val="0011153D"/>
    <w:rsid w:val="00132DC5"/>
    <w:rsid w:val="00141AC0"/>
    <w:rsid w:val="00150FBD"/>
    <w:rsid w:val="00161BF4"/>
    <w:rsid w:val="00165B48"/>
    <w:rsid w:val="001701D2"/>
    <w:rsid w:val="00192B32"/>
    <w:rsid w:val="001B39CA"/>
    <w:rsid w:val="001C5EBD"/>
    <w:rsid w:val="001D4011"/>
    <w:rsid w:val="001D467C"/>
    <w:rsid w:val="001D4F5A"/>
    <w:rsid w:val="001F068B"/>
    <w:rsid w:val="00233529"/>
    <w:rsid w:val="00241992"/>
    <w:rsid w:val="002431FE"/>
    <w:rsid w:val="002554ED"/>
    <w:rsid w:val="00261BD9"/>
    <w:rsid w:val="00284F6A"/>
    <w:rsid w:val="00295C23"/>
    <w:rsid w:val="002B5260"/>
    <w:rsid w:val="003332BE"/>
    <w:rsid w:val="00343A5B"/>
    <w:rsid w:val="00371ECF"/>
    <w:rsid w:val="003800DA"/>
    <w:rsid w:val="003875CA"/>
    <w:rsid w:val="00391A15"/>
    <w:rsid w:val="003D0EEC"/>
    <w:rsid w:val="003E2EF4"/>
    <w:rsid w:val="003F392D"/>
    <w:rsid w:val="003F7BC3"/>
    <w:rsid w:val="0040497D"/>
    <w:rsid w:val="004115CC"/>
    <w:rsid w:val="00411693"/>
    <w:rsid w:val="00412376"/>
    <w:rsid w:val="00436D48"/>
    <w:rsid w:val="00440483"/>
    <w:rsid w:val="00452DA4"/>
    <w:rsid w:val="004A367A"/>
    <w:rsid w:val="004D6758"/>
    <w:rsid w:val="00501E92"/>
    <w:rsid w:val="0050595F"/>
    <w:rsid w:val="00506615"/>
    <w:rsid w:val="00527DE7"/>
    <w:rsid w:val="0054301C"/>
    <w:rsid w:val="005619F9"/>
    <w:rsid w:val="00563D13"/>
    <w:rsid w:val="005651D8"/>
    <w:rsid w:val="00574E48"/>
    <w:rsid w:val="005E4F3A"/>
    <w:rsid w:val="005F171F"/>
    <w:rsid w:val="005F375C"/>
    <w:rsid w:val="005F385D"/>
    <w:rsid w:val="00601E73"/>
    <w:rsid w:val="0069567F"/>
    <w:rsid w:val="006A0D15"/>
    <w:rsid w:val="006A0F0D"/>
    <w:rsid w:val="006B3B65"/>
    <w:rsid w:val="006B6444"/>
    <w:rsid w:val="006C405F"/>
    <w:rsid w:val="006C44A7"/>
    <w:rsid w:val="006D3B39"/>
    <w:rsid w:val="006D6895"/>
    <w:rsid w:val="006E3E99"/>
    <w:rsid w:val="006F40DB"/>
    <w:rsid w:val="0070702A"/>
    <w:rsid w:val="007142C4"/>
    <w:rsid w:val="00752939"/>
    <w:rsid w:val="0076656B"/>
    <w:rsid w:val="00766610"/>
    <w:rsid w:val="00774F48"/>
    <w:rsid w:val="00784EC8"/>
    <w:rsid w:val="007A2BF3"/>
    <w:rsid w:val="00807557"/>
    <w:rsid w:val="0081013B"/>
    <w:rsid w:val="0081230D"/>
    <w:rsid w:val="00820D9A"/>
    <w:rsid w:val="00841FA2"/>
    <w:rsid w:val="00864044"/>
    <w:rsid w:val="00867C2E"/>
    <w:rsid w:val="008803AB"/>
    <w:rsid w:val="00883A8B"/>
    <w:rsid w:val="00890996"/>
    <w:rsid w:val="008960C6"/>
    <w:rsid w:val="008E0FB4"/>
    <w:rsid w:val="008E73E5"/>
    <w:rsid w:val="0091385C"/>
    <w:rsid w:val="00915379"/>
    <w:rsid w:val="00927744"/>
    <w:rsid w:val="00932655"/>
    <w:rsid w:val="00935C30"/>
    <w:rsid w:val="009434DE"/>
    <w:rsid w:val="009737C3"/>
    <w:rsid w:val="009A4F37"/>
    <w:rsid w:val="009B44A4"/>
    <w:rsid w:val="009C3240"/>
    <w:rsid w:val="009D0140"/>
    <w:rsid w:val="009D3311"/>
    <w:rsid w:val="009D61A6"/>
    <w:rsid w:val="009E7B9F"/>
    <w:rsid w:val="009E7E87"/>
    <w:rsid w:val="00A23F4D"/>
    <w:rsid w:val="00A25A82"/>
    <w:rsid w:val="00A26B6E"/>
    <w:rsid w:val="00A34728"/>
    <w:rsid w:val="00A5393D"/>
    <w:rsid w:val="00A54E2B"/>
    <w:rsid w:val="00A62057"/>
    <w:rsid w:val="00A67271"/>
    <w:rsid w:val="00A80244"/>
    <w:rsid w:val="00A83A3B"/>
    <w:rsid w:val="00A85117"/>
    <w:rsid w:val="00A92132"/>
    <w:rsid w:val="00A93FAF"/>
    <w:rsid w:val="00A94156"/>
    <w:rsid w:val="00AC37A3"/>
    <w:rsid w:val="00AD00C3"/>
    <w:rsid w:val="00AE49B5"/>
    <w:rsid w:val="00B12BD1"/>
    <w:rsid w:val="00B2198C"/>
    <w:rsid w:val="00B24F4E"/>
    <w:rsid w:val="00B826AC"/>
    <w:rsid w:val="00B964C5"/>
    <w:rsid w:val="00BF095C"/>
    <w:rsid w:val="00C072D0"/>
    <w:rsid w:val="00C11B32"/>
    <w:rsid w:val="00C43ECF"/>
    <w:rsid w:val="00C5584B"/>
    <w:rsid w:val="00C7649A"/>
    <w:rsid w:val="00C869E6"/>
    <w:rsid w:val="00C918E0"/>
    <w:rsid w:val="00CA0880"/>
    <w:rsid w:val="00CA7DED"/>
    <w:rsid w:val="00CD43B4"/>
    <w:rsid w:val="00CE50B5"/>
    <w:rsid w:val="00D00F8C"/>
    <w:rsid w:val="00D05F86"/>
    <w:rsid w:val="00D201DF"/>
    <w:rsid w:val="00D37241"/>
    <w:rsid w:val="00D44712"/>
    <w:rsid w:val="00D52288"/>
    <w:rsid w:val="00D53524"/>
    <w:rsid w:val="00D75193"/>
    <w:rsid w:val="00DB5847"/>
    <w:rsid w:val="00DD39FF"/>
    <w:rsid w:val="00DF1D81"/>
    <w:rsid w:val="00DF44D2"/>
    <w:rsid w:val="00E136FA"/>
    <w:rsid w:val="00E355B6"/>
    <w:rsid w:val="00E47C2C"/>
    <w:rsid w:val="00E62D5E"/>
    <w:rsid w:val="00E77C61"/>
    <w:rsid w:val="00EA3564"/>
    <w:rsid w:val="00EA54C3"/>
    <w:rsid w:val="00EB586C"/>
    <w:rsid w:val="00F25AE8"/>
    <w:rsid w:val="00F4445B"/>
    <w:rsid w:val="00F50C31"/>
    <w:rsid w:val="00F733D7"/>
    <w:rsid w:val="00F81472"/>
    <w:rsid w:val="00F83751"/>
    <w:rsid w:val="00F92069"/>
    <w:rsid w:val="00FD5AC1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8A84C2"/>
  <w15:chartTrackingRefBased/>
  <w15:docId w15:val="{1798E03B-C2A5-4B3E-A5E8-D99D3223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Ｐ明朝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F48"/>
    <w:pPr>
      <w:spacing w:line="480" w:lineRule="auto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883A8B"/>
    <w:pPr>
      <w:keepNext/>
      <w:spacing w:before="360" w:after="120"/>
      <w:outlineLvl w:val="0"/>
    </w:pPr>
    <w:rPr>
      <w:b/>
      <w:sz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83A8B"/>
    <w:pPr>
      <w:spacing w:before="120" w:after="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F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F48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774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F48"/>
    <w:rPr>
      <w:rFonts w:eastAsia="ＭＳ 明朝"/>
    </w:rPr>
  </w:style>
  <w:style w:type="table" w:styleId="a7">
    <w:name w:val="Table Grid"/>
    <w:basedOn w:val="a1"/>
    <w:uiPriority w:val="39"/>
    <w:rsid w:val="00774F48"/>
    <w:pPr>
      <w:spacing w:line="480" w:lineRule="auto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74F4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74F48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74F48"/>
    <w:rPr>
      <w:rFonts w:eastAsia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74F4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74F48"/>
    <w:rPr>
      <w:rFonts w:eastAsia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74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4F4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774F48"/>
  </w:style>
  <w:style w:type="paragraph" w:customStyle="1" w:styleId="EndNoteBibliographyTitle">
    <w:name w:val="EndNote Bibliography Title"/>
    <w:basedOn w:val="a"/>
    <w:link w:val="EndNoteBibliographyTitle0"/>
    <w:rsid w:val="00774F48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774F48"/>
    <w:rPr>
      <w:rFonts w:eastAsia="ＭＳ 明朝" w:cs="Times New Roman"/>
      <w:noProof/>
    </w:rPr>
  </w:style>
  <w:style w:type="paragraph" w:customStyle="1" w:styleId="EndNoteBibliography">
    <w:name w:val="EndNote Bibliography"/>
    <w:basedOn w:val="a"/>
    <w:link w:val="EndNoteBibliography0"/>
    <w:rsid w:val="00774F48"/>
    <w:pPr>
      <w:spacing w:line="240" w:lineRule="auto"/>
    </w:pPr>
    <w:rPr>
      <w:rFonts w:cs="Times New Roman"/>
      <w:noProof/>
    </w:rPr>
  </w:style>
  <w:style w:type="character" w:customStyle="1" w:styleId="EndNoteBibliography0">
    <w:name w:val="EndNote Bibliography (文字)"/>
    <w:basedOn w:val="a0"/>
    <w:link w:val="EndNoteBibliography"/>
    <w:rsid w:val="00774F48"/>
    <w:rPr>
      <w:rFonts w:eastAsia="ＭＳ 明朝" w:cs="Times New Roman"/>
      <w:noProof/>
    </w:rPr>
  </w:style>
  <w:style w:type="table" w:customStyle="1" w:styleId="11">
    <w:name w:val="表 (格子)1"/>
    <w:basedOn w:val="a1"/>
    <w:next w:val="a7"/>
    <w:uiPriority w:val="39"/>
    <w:rsid w:val="00774F48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39"/>
    <w:rsid w:val="00774F48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774F48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774F48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774F48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774F48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774F48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74F4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527DE7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</w:rPr>
  </w:style>
  <w:style w:type="character" w:customStyle="1" w:styleId="10">
    <w:name w:val="見出し 1 (文字)"/>
    <w:basedOn w:val="a0"/>
    <w:link w:val="1"/>
    <w:uiPriority w:val="9"/>
    <w:rsid w:val="00883A8B"/>
    <w:rPr>
      <w:rFonts w:eastAsia="ＭＳ 明朝"/>
      <w:b/>
      <w:sz w:val="28"/>
    </w:rPr>
  </w:style>
  <w:style w:type="character" w:customStyle="1" w:styleId="20">
    <w:name w:val="見出し 2 (文字)"/>
    <w:basedOn w:val="a0"/>
    <w:link w:val="2"/>
    <w:uiPriority w:val="9"/>
    <w:rsid w:val="00883A8B"/>
    <w:rPr>
      <w:rFonts w:eastAsia="ＭＳ 明朝"/>
      <w:b/>
    </w:rPr>
  </w:style>
  <w:style w:type="paragraph" w:styleId="af2">
    <w:name w:val="Revision"/>
    <w:hidden/>
    <w:uiPriority w:val="99"/>
    <w:semiHidden/>
    <w:rsid w:val="00784EC8"/>
    <w:rPr>
      <w:rFonts w:eastAsia="ＭＳ 明朝"/>
    </w:rPr>
  </w:style>
  <w:style w:type="table" w:styleId="22">
    <w:name w:val="Plain Table 2"/>
    <w:basedOn w:val="a1"/>
    <w:uiPriority w:val="42"/>
    <w:rsid w:val="00A5393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哲哉</dc:creator>
  <cp:keywords/>
  <dc:description/>
  <cp:lastModifiedBy>佐藤 哲哉</cp:lastModifiedBy>
  <cp:revision>2</cp:revision>
  <dcterms:created xsi:type="dcterms:W3CDTF">2021-03-17T04:56:00Z</dcterms:created>
  <dcterms:modified xsi:type="dcterms:W3CDTF">2021-03-17T04:56:00Z</dcterms:modified>
</cp:coreProperties>
</file>