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B0D7F" w14:textId="77777777" w:rsidR="00736AA6" w:rsidRDefault="00736AA6" w:rsidP="00736AA6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</w:rPr>
      </w:pPr>
      <w:r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18"/>
          <w:szCs w:val="1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F332BD6" wp14:editId="69259FEF">
            <wp:simplePos x="914400" y="1511300"/>
            <wp:positionH relativeFrom="column">
              <wp:align>left</wp:align>
            </wp:positionH>
            <wp:positionV relativeFrom="paragraph">
              <wp:align>top</wp:align>
            </wp:positionV>
            <wp:extent cx="4783667" cy="3160811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67" cy="31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</w:rPr>
        <w:br w:type="textWrapping" w:clear="all"/>
      </w:r>
    </w:p>
    <w:p w14:paraId="4A216BD8" w14:textId="77777777" w:rsidR="00736AA6" w:rsidRPr="009F114B" w:rsidRDefault="00736AA6" w:rsidP="00736AA6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</w:pPr>
      <w:r w:rsidRPr="004E0AA0">
        <w:rPr>
          <w:rFonts w:ascii="Arial" w:eastAsiaTheme="minorEastAsia" w:hAnsi="Arial" w:cs="Arial"/>
          <w:b/>
          <w:color w:val="000000" w:themeColor="text1"/>
          <w:kern w:val="24"/>
          <w:sz w:val="18"/>
          <w:szCs w:val="18"/>
        </w:rPr>
        <w:t>S3 Fig</w:t>
      </w:r>
      <w:r>
        <w:rPr>
          <w:rFonts w:ascii="Arial" w:eastAsiaTheme="minorEastAsia" w:hAnsi="Arial" w:cs="Arial"/>
          <w:b/>
          <w:color w:val="000000" w:themeColor="text1"/>
          <w:kern w:val="24"/>
          <w:sz w:val="18"/>
          <w:szCs w:val="18"/>
        </w:rPr>
        <w:t>:</w:t>
      </w:r>
      <w:r w:rsidRPr="004E0AA0">
        <w:rPr>
          <w:rFonts w:ascii="Arial" w:eastAsiaTheme="minorEastAsia" w:hAnsi="Arial" w:cs="Arial"/>
          <w:b/>
          <w:color w:val="000000" w:themeColor="text1"/>
          <w:kern w:val="24"/>
          <w:sz w:val="18"/>
          <w:szCs w:val="18"/>
        </w:rPr>
        <w:t xml:space="preserve"> SOX2 expression level correlated with cardiomyocyte phenotype</w:t>
      </w:r>
      <w:r w:rsidRPr="004E0AA0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. Immunostaining of SOX2 and cTnT in Ad-CMV-MKOS transduced cardiomyocytes (3 days post transduction).</w:t>
      </w:r>
      <w:r w:rsidRPr="004E0AA0">
        <w:rPr>
          <w:rFonts w:ascii="Arial" w:eastAsiaTheme="minorEastAsia" w:hAnsi="Arial" w:cs="Arial"/>
          <w:b/>
          <w:color w:val="000000" w:themeColor="text1"/>
          <w:kern w:val="24"/>
          <w:sz w:val="18"/>
          <w:szCs w:val="18"/>
        </w:rPr>
        <w:t xml:space="preserve"> </w:t>
      </w:r>
      <w:r w:rsidRPr="004E0AA0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SOX2 high was defined as cells with a nuclear SOX2 fluorescence signal greater than the median fluorescence intensity of the SOX2 positive population and SOX2 low defined as signals below this median. Representative image from n=4 replicates, 4-6 fields per replicate.</w:t>
      </w:r>
      <w:r w:rsidRPr="004E0AA0">
        <w:rPr>
          <w:rFonts w:ascii="Arial" w:eastAsiaTheme="minorEastAsia" w:hAnsi="Arial" w:cs="Arial"/>
          <w:b/>
          <w:color w:val="000000" w:themeColor="text1"/>
          <w:kern w:val="24"/>
          <w:sz w:val="18"/>
          <w:szCs w:val="18"/>
        </w:rPr>
        <w:t xml:space="preserve"> </w:t>
      </w:r>
      <w:r w:rsidRPr="004E0AA0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(Scale bar = 100 µm).</w:t>
      </w:r>
    </w:p>
    <w:p w14:paraId="27505E4A" w14:textId="77777777" w:rsidR="006E13EA" w:rsidRDefault="006E13EA"/>
    <w:sectPr w:rsidR="006E1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AA6"/>
    <w:rsid w:val="003862E5"/>
    <w:rsid w:val="003C4646"/>
    <w:rsid w:val="006E13EA"/>
    <w:rsid w:val="00736AA6"/>
    <w:rsid w:val="009C5222"/>
    <w:rsid w:val="00A3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F34E8"/>
  <w15:chartTrackingRefBased/>
  <w15:docId w15:val="{B9EB701E-21D9-430D-973A-A5CAA2261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</dc:creator>
  <cp:keywords/>
  <dc:description/>
  <cp:lastModifiedBy>SATHISH</cp:lastModifiedBy>
  <cp:revision>1</cp:revision>
  <dcterms:created xsi:type="dcterms:W3CDTF">2021-04-27T12:29:00Z</dcterms:created>
  <dcterms:modified xsi:type="dcterms:W3CDTF">2021-04-27T12:29:00Z</dcterms:modified>
</cp:coreProperties>
</file>