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E7E06" w14:textId="77777777" w:rsidR="00771821" w:rsidRPr="00CB58AF" w:rsidRDefault="00771821" w:rsidP="00771821">
      <w:pPr>
        <w:bidi w:val="0"/>
        <w:spacing w:after="120" w:line="48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</w:pPr>
      <w:bookmarkStart w:id="0" w:name="_GoBack"/>
      <w:bookmarkEnd w:id="0"/>
      <w:r w:rsidRPr="00CB58A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  <w:t>S2 Table. Characteristics of pregnancies with normal karyotype and normal prenatal screening</w:t>
      </w:r>
      <w:r w:rsidRPr="00CB58AF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results </w:t>
      </w:r>
      <w:r w:rsidRPr="00CB58A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/>
        </w:rPr>
        <w:t>for which amniocenteses were performed for CMA</w:t>
      </w:r>
    </w:p>
    <w:tbl>
      <w:tblPr>
        <w:tblW w:w="6176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1700"/>
        <w:gridCol w:w="1842"/>
        <w:gridCol w:w="1133"/>
      </w:tblGrid>
      <w:tr w:rsidR="00771821" w:rsidRPr="0089644B" w14:paraId="30578F9F" w14:textId="77777777" w:rsidTr="00E16397">
        <w:trPr>
          <w:trHeight w:val="300"/>
          <w:tblHeader/>
        </w:trPr>
        <w:tc>
          <w:tcPr>
            <w:tcW w:w="2830" w:type="pct"/>
            <w:noWrap/>
            <w:hideMark/>
          </w:tcPr>
          <w:p w14:paraId="5BF58E1C" w14:textId="77777777" w:rsidR="00771821" w:rsidRPr="00285480" w:rsidRDefault="00771821" w:rsidP="00E16397">
            <w:pPr>
              <w:bidi w:val="0"/>
              <w:spacing w:before="60" w:after="6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Characteristic</w:t>
            </w:r>
          </w:p>
        </w:tc>
        <w:tc>
          <w:tcPr>
            <w:tcW w:w="789" w:type="pct"/>
            <w:noWrap/>
            <w:hideMark/>
          </w:tcPr>
          <w:p w14:paraId="7659B185" w14:textId="77777777" w:rsidR="00771821" w:rsidRPr="00285480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&lt;35 years</w:t>
            </w:r>
          </w:p>
          <w:p w14:paraId="69FC23FD" w14:textId="77777777" w:rsidR="00771821" w:rsidRPr="00285480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N=1,702</w:t>
            </w:r>
          </w:p>
        </w:tc>
        <w:tc>
          <w:tcPr>
            <w:tcW w:w="855" w:type="pct"/>
            <w:noWrap/>
            <w:hideMark/>
          </w:tcPr>
          <w:p w14:paraId="08FD97AD" w14:textId="77777777" w:rsidR="00771821" w:rsidRPr="00285480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≥35 years</w:t>
            </w:r>
          </w:p>
          <w:p w14:paraId="03B07782" w14:textId="77777777" w:rsidR="00771821" w:rsidRPr="00285480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N=2,472</w:t>
            </w:r>
          </w:p>
        </w:tc>
        <w:tc>
          <w:tcPr>
            <w:tcW w:w="526" w:type="pct"/>
          </w:tcPr>
          <w:p w14:paraId="23E5576C" w14:textId="77777777" w:rsidR="00771821" w:rsidRPr="00285480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P-value</w:t>
            </w:r>
          </w:p>
        </w:tc>
      </w:tr>
      <w:tr w:rsidR="00771821" w:rsidRPr="0089644B" w14:paraId="2EDC7AA4" w14:textId="77777777" w:rsidTr="00E16397">
        <w:trPr>
          <w:trHeight w:val="458"/>
        </w:trPr>
        <w:tc>
          <w:tcPr>
            <w:tcW w:w="5000" w:type="pct"/>
            <w:gridSpan w:val="4"/>
            <w:noWrap/>
            <w:hideMark/>
          </w:tcPr>
          <w:p w14:paraId="2A2D81E2" w14:textId="77777777" w:rsidR="00771821" w:rsidRPr="00285480" w:rsidRDefault="00771821" w:rsidP="00E16397">
            <w:pPr>
              <w:bidi w:val="0"/>
              <w:spacing w:before="60" w:after="6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Socio-demographic data</w:t>
            </w:r>
          </w:p>
        </w:tc>
      </w:tr>
      <w:tr w:rsidR="00771821" w:rsidRPr="0089644B" w14:paraId="658B17F5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5B59C09D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Maternal age (years), mean±SD</w:t>
            </w:r>
          </w:p>
        </w:tc>
        <w:tc>
          <w:tcPr>
            <w:tcW w:w="789" w:type="pct"/>
            <w:noWrap/>
            <w:hideMark/>
          </w:tcPr>
          <w:p w14:paraId="1D3F3B7A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31.6±2.0</w:t>
            </w:r>
          </w:p>
        </w:tc>
        <w:tc>
          <w:tcPr>
            <w:tcW w:w="855" w:type="pct"/>
            <w:noWrap/>
            <w:hideMark/>
          </w:tcPr>
          <w:p w14:paraId="1DD97523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37.9±2.4</w:t>
            </w:r>
          </w:p>
        </w:tc>
        <w:tc>
          <w:tcPr>
            <w:tcW w:w="526" w:type="pct"/>
          </w:tcPr>
          <w:p w14:paraId="3A6F93EF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&lt;0.0001</w:t>
            </w:r>
          </w:p>
        </w:tc>
      </w:tr>
      <w:tr w:rsidR="00771821" w:rsidRPr="0089644B" w14:paraId="6D2E1B87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2422ED91" w14:textId="5668770E" w:rsidR="00771821" w:rsidRPr="00285480" w:rsidRDefault="00771821" w:rsidP="000B09E4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Gestational age (weeks), mean±SD</w:t>
            </w:r>
            <w:r w:rsidR="000B09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89" w:type="pct"/>
            <w:noWrap/>
            <w:hideMark/>
          </w:tcPr>
          <w:p w14:paraId="6B00AC2A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18.5±1·3</w:t>
            </w:r>
          </w:p>
        </w:tc>
        <w:tc>
          <w:tcPr>
            <w:tcW w:w="855" w:type="pct"/>
            <w:noWrap/>
            <w:hideMark/>
          </w:tcPr>
          <w:p w14:paraId="13D9B4F5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18.3±1.2</w:t>
            </w:r>
          </w:p>
        </w:tc>
        <w:tc>
          <w:tcPr>
            <w:tcW w:w="526" w:type="pct"/>
          </w:tcPr>
          <w:p w14:paraId="21FFCB7C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&lt;0.0001</w:t>
            </w:r>
          </w:p>
        </w:tc>
      </w:tr>
      <w:tr w:rsidR="00771821" w:rsidRPr="0089644B" w14:paraId="67876C48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1CE2EED3" w14:textId="67149E28" w:rsidR="00771821" w:rsidRPr="00285480" w:rsidRDefault="00771821" w:rsidP="000B09E4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Weight (kg), mean±SD</w:t>
            </w:r>
            <w:r w:rsidR="000B09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a</w:t>
            </w:r>
          </w:p>
        </w:tc>
        <w:tc>
          <w:tcPr>
            <w:tcW w:w="789" w:type="pct"/>
            <w:noWrap/>
            <w:hideMark/>
          </w:tcPr>
          <w:p w14:paraId="48F0D3F7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62.4±9.8</w:t>
            </w:r>
          </w:p>
        </w:tc>
        <w:tc>
          <w:tcPr>
            <w:tcW w:w="855" w:type="pct"/>
            <w:noWrap/>
            <w:hideMark/>
          </w:tcPr>
          <w:p w14:paraId="5A00973A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65.9±10.9</w:t>
            </w:r>
          </w:p>
        </w:tc>
        <w:tc>
          <w:tcPr>
            <w:tcW w:w="526" w:type="pct"/>
          </w:tcPr>
          <w:p w14:paraId="63B66682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&lt;0.0001</w:t>
            </w:r>
          </w:p>
        </w:tc>
      </w:tr>
      <w:tr w:rsidR="00771821" w:rsidRPr="0089644B" w14:paraId="12234D3D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5151E4F1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Paternal age (years), mean ± SD</w:t>
            </w:r>
          </w:p>
        </w:tc>
        <w:tc>
          <w:tcPr>
            <w:tcW w:w="789" w:type="pct"/>
            <w:noWrap/>
            <w:hideMark/>
          </w:tcPr>
          <w:p w14:paraId="4DC8C2C6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33.9±3.9</w:t>
            </w:r>
          </w:p>
        </w:tc>
        <w:tc>
          <w:tcPr>
            <w:tcW w:w="855" w:type="pct"/>
            <w:noWrap/>
            <w:hideMark/>
          </w:tcPr>
          <w:p w14:paraId="29E4FBE0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39.5±8.2</w:t>
            </w:r>
          </w:p>
        </w:tc>
        <w:tc>
          <w:tcPr>
            <w:tcW w:w="526" w:type="pct"/>
          </w:tcPr>
          <w:p w14:paraId="509F80F6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&lt;0.0001</w:t>
            </w:r>
          </w:p>
        </w:tc>
      </w:tr>
      <w:tr w:rsidR="00771821" w:rsidRPr="0089644B" w14:paraId="13411D67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6F56D7E7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Consanguinity between parents, n/N (%)</w:t>
            </w:r>
          </w:p>
        </w:tc>
        <w:tc>
          <w:tcPr>
            <w:tcW w:w="789" w:type="pct"/>
            <w:noWrap/>
            <w:hideMark/>
          </w:tcPr>
          <w:p w14:paraId="71A5A257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2/1,695 (0.1)</w:t>
            </w:r>
          </w:p>
        </w:tc>
        <w:tc>
          <w:tcPr>
            <w:tcW w:w="855" w:type="pct"/>
            <w:noWrap/>
            <w:hideMark/>
          </w:tcPr>
          <w:p w14:paraId="7A51D352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3/2,348 (0.1)</w:t>
            </w:r>
          </w:p>
        </w:tc>
        <w:tc>
          <w:tcPr>
            <w:tcW w:w="526" w:type="pct"/>
          </w:tcPr>
          <w:p w14:paraId="3024EA66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&gt;0.99</w:t>
            </w:r>
          </w:p>
        </w:tc>
      </w:tr>
      <w:tr w:rsidR="00771821" w:rsidRPr="0089644B" w14:paraId="7891389B" w14:textId="77777777" w:rsidTr="00E16397">
        <w:trPr>
          <w:trHeight w:val="300"/>
        </w:trPr>
        <w:tc>
          <w:tcPr>
            <w:tcW w:w="5000" w:type="pct"/>
            <w:gridSpan w:val="4"/>
            <w:noWrap/>
            <w:hideMark/>
          </w:tcPr>
          <w:p w14:paraId="4411C3CC" w14:textId="77777777" w:rsidR="00771821" w:rsidRPr="00285480" w:rsidRDefault="00771821" w:rsidP="00E16397">
            <w:pPr>
              <w:bidi w:val="0"/>
              <w:spacing w:before="60" w:after="6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Obstetrics history</w:t>
            </w:r>
          </w:p>
        </w:tc>
      </w:tr>
      <w:tr w:rsidR="00771821" w:rsidRPr="0089644B" w14:paraId="44549CB8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763587CB" w14:textId="1C0BB109" w:rsidR="00771821" w:rsidRPr="00285480" w:rsidRDefault="00771821" w:rsidP="000B09E4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Number of pregnancies, median (IQR)</w:t>
            </w:r>
            <w:r w:rsidR="000B09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789" w:type="pct"/>
            <w:noWrap/>
            <w:hideMark/>
          </w:tcPr>
          <w:p w14:paraId="7EA76FC0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2.0 (1.0-2.0)</w:t>
            </w:r>
          </w:p>
        </w:tc>
        <w:tc>
          <w:tcPr>
            <w:tcW w:w="855" w:type="pct"/>
            <w:noWrap/>
            <w:hideMark/>
          </w:tcPr>
          <w:p w14:paraId="78772670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3.0 (2.0-4.0)</w:t>
            </w:r>
          </w:p>
        </w:tc>
        <w:tc>
          <w:tcPr>
            <w:tcW w:w="526" w:type="pct"/>
          </w:tcPr>
          <w:p w14:paraId="0E0A831D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&lt;0.0001</w:t>
            </w:r>
          </w:p>
        </w:tc>
      </w:tr>
      <w:tr w:rsidR="00771821" w:rsidRPr="0089644B" w14:paraId="03326868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7D0D069F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Number of deliveries, median (IQR)</w:t>
            </w:r>
          </w:p>
        </w:tc>
        <w:tc>
          <w:tcPr>
            <w:tcW w:w="789" w:type="pct"/>
            <w:noWrap/>
            <w:hideMark/>
          </w:tcPr>
          <w:p w14:paraId="77C40269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1.0 (0.0-1.0)</w:t>
            </w:r>
          </w:p>
        </w:tc>
        <w:tc>
          <w:tcPr>
            <w:tcW w:w="855" w:type="pct"/>
            <w:noWrap/>
            <w:hideMark/>
          </w:tcPr>
          <w:p w14:paraId="359D71B4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2.0 (1.0-2.0)</w:t>
            </w:r>
          </w:p>
        </w:tc>
        <w:tc>
          <w:tcPr>
            <w:tcW w:w="526" w:type="pct"/>
          </w:tcPr>
          <w:p w14:paraId="741FCE18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&lt;0.0001</w:t>
            </w:r>
          </w:p>
        </w:tc>
      </w:tr>
      <w:tr w:rsidR="00771821" w:rsidRPr="0089644B" w14:paraId="7877E3AF" w14:textId="77777777" w:rsidTr="00E16397">
        <w:trPr>
          <w:trHeight w:val="300"/>
        </w:trPr>
        <w:tc>
          <w:tcPr>
            <w:tcW w:w="5000" w:type="pct"/>
            <w:gridSpan w:val="4"/>
            <w:noWrap/>
            <w:hideMark/>
          </w:tcPr>
          <w:p w14:paraId="3FDC10A8" w14:textId="77777777" w:rsidR="00771821" w:rsidRPr="00285480" w:rsidRDefault="00771821" w:rsidP="00E16397">
            <w:pPr>
              <w:bidi w:val="0"/>
              <w:spacing w:before="60" w:after="6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Obstetric complications during the current pregnancy</w:t>
            </w:r>
          </w:p>
        </w:tc>
      </w:tr>
      <w:tr w:rsidR="00771821" w:rsidRPr="0089644B" w14:paraId="5FDC9CBC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2A669B93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Vaginal bleeding, n/N (%)</w:t>
            </w:r>
          </w:p>
        </w:tc>
        <w:tc>
          <w:tcPr>
            <w:tcW w:w="789" w:type="pct"/>
            <w:noWrap/>
            <w:hideMark/>
          </w:tcPr>
          <w:p w14:paraId="3D6B1891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67/1,702 (3.9)</w:t>
            </w:r>
          </w:p>
        </w:tc>
        <w:tc>
          <w:tcPr>
            <w:tcW w:w="855" w:type="pct"/>
            <w:noWrap/>
            <w:hideMark/>
          </w:tcPr>
          <w:p w14:paraId="509A3510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117/2,472 (4.7)</w:t>
            </w:r>
          </w:p>
        </w:tc>
        <w:tc>
          <w:tcPr>
            <w:tcW w:w="526" w:type="pct"/>
          </w:tcPr>
          <w:p w14:paraId="46F27E1B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0.28</w:t>
            </w:r>
          </w:p>
        </w:tc>
      </w:tr>
      <w:tr w:rsidR="00771821" w:rsidRPr="0089644B" w14:paraId="340AC34E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2D75CAB7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Cervical incompetence with/without cerclage, n/N (%)</w:t>
            </w:r>
          </w:p>
        </w:tc>
        <w:tc>
          <w:tcPr>
            <w:tcW w:w="789" w:type="pct"/>
            <w:noWrap/>
            <w:hideMark/>
          </w:tcPr>
          <w:p w14:paraId="1AEE8FF8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4/1,702 (0.2)</w:t>
            </w:r>
          </w:p>
        </w:tc>
        <w:tc>
          <w:tcPr>
            <w:tcW w:w="855" w:type="pct"/>
            <w:noWrap/>
            <w:hideMark/>
          </w:tcPr>
          <w:p w14:paraId="4D15ED7E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8/2,472 (0.3)</w:t>
            </w:r>
          </w:p>
        </w:tc>
        <w:tc>
          <w:tcPr>
            <w:tcW w:w="526" w:type="pct"/>
          </w:tcPr>
          <w:p w14:paraId="5D44D0CA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0.77</w:t>
            </w:r>
          </w:p>
        </w:tc>
      </w:tr>
      <w:tr w:rsidR="00771821" w:rsidRPr="0089644B" w14:paraId="40BA13B3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1BF34CB9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Pregnancy started out with multiple embryos, n/N (%)</w:t>
            </w:r>
          </w:p>
        </w:tc>
        <w:tc>
          <w:tcPr>
            <w:tcW w:w="789" w:type="pct"/>
            <w:noWrap/>
            <w:hideMark/>
          </w:tcPr>
          <w:p w14:paraId="5FD31053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13/1,702 (0.8)</w:t>
            </w:r>
          </w:p>
        </w:tc>
        <w:tc>
          <w:tcPr>
            <w:tcW w:w="855" w:type="pct"/>
            <w:noWrap/>
            <w:hideMark/>
          </w:tcPr>
          <w:p w14:paraId="3F26260E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57/2,472 (2.3)</w:t>
            </w:r>
          </w:p>
        </w:tc>
        <w:tc>
          <w:tcPr>
            <w:tcW w:w="526" w:type="pct"/>
          </w:tcPr>
          <w:p w14:paraId="358EC220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&lt;0.0001</w:t>
            </w:r>
          </w:p>
        </w:tc>
      </w:tr>
      <w:tr w:rsidR="00771821" w:rsidRPr="0089644B" w14:paraId="2BF17203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3D929E35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lastRenderedPageBreak/>
              <w:t>Fertility treatment, n/N (%)</w:t>
            </w:r>
          </w:p>
        </w:tc>
        <w:tc>
          <w:tcPr>
            <w:tcW w:w="789" w:type="pct"/>
            <w:noWrap/>
            <w:hideMark/>
          </w:tcPr>
          <w:p w14:paraId="3CCC2B79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78/1,702  (4.6)</w:t>
            </w:r>
          </w:p>
        </w:tc>
        <w:tc>
          <w:tcPr>
            <w:tcW w:w="855" w:type="pct"/>
            <w:noWrap/>
            <w:hideMark/>
          </w:tcPr>
          <w:p w14:paraId="7FACA116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231/2,472 (9.3)</w:t>
            </w:r>
          </w:p>
        </w:tc>
        <w:tc>
          <w:tcPr>
            <w:tcW w:w="526" w:type="pct"/>
          </w:tcPr>
          <w:p w14:paraId="1CACCAEC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&lt;0.0001</w:t>
            </w:r>
          </w:p>
        </w:tc>
      </w:tr>
      <w:tr w:rsidR="00771821" w:rsidRPr="0089644B" w14:paraId="5ACF177E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68AFB25B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Overt diabetes, n/N (%)</w:t>
            </w:r>
          </w:p>
        </w:tc>
        <w:tc>
          <w:tcPr>
            <w:tcW w:w="789" w:type="pct"/>
            <w:noWrap/>
            <w:hideMark/>
          </w:tcPr>
          <w:p w14:paraId="375A4206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7/1,702 (0.4)</w:t>
            </w:r>
          </w:p>
        </w:tc>
        <w:tc>
          <w:tcPr>
            <w:tcW w:w="855" w:type="pct"/>
            <w:noWrap/>
            <w:hideMark/>
          </w:tcPr>
          <w:p w14:paraId="1CA3A86A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12/2,472 (0.5)</w:t>
            </w:r>
          </w:p>
        </w:tc>
        <w:tc>
          <w:tcPr>
            <w:tcW w:w="526" w:type="pct"/>
          </w:tcPr>
          <w:p w14:paraId="4D80A1E1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0.82</w:t>
            </w:r>
          </w:p>
        </w:tc>
      </w:tr>
      <w:tr w:rsidR="00771821" w:rsidRPr="0089644B" w14:paraId="21E23DE4" w14:textId="77777777" w:rsidTr="00E16397">
        <w:trPr>
          <w:trHeight w:val="285"/>
        </w:trPr>
        <w:tc>
          <w:tcPr>
            <w:tcW w:w="2830" w:type="pct"/>
            <w:noWrap/>
          </w:tcPr>
          <w:p w14:paraId="55C5260C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Pregnancy-induced diabetes, n/N (%)</w:t>
            </w:r>
          </w:p>
        </w:tc>
        <w:tc>
          <w:tcPr>
            <w:tcW w:w="789" w:type="pct"/>
            <w:noWrap/>
          </w:tcPr>
          <w:p w14:paraId="07517C12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4/1,702 (0.2)</w:t>
            </w:r>
          </w:p>
        </w:tc>
        <w:tc>
          <w:tcPr>
            <w:tcW w:w="855" w:type="pct"/>
            <w:noWrap/>
          </w:tcPr>
          <w:p w14:paraId="5C116C9E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14/2,472 (0.6)</w:t>
            </w:r>
          </w:p>
        </w:tc>
        <w:tc>
          <w:tcPr>
            <w:tcW w:w="526" w:type="pct"/>
          </w:tcPr>
          <w:p w14:paraId="2380DE70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0.15</w:t>
            </w:r>
          </w:p>
        </w:tc>
      </w:tr>
      <w:tr w:rsidR="00771821" w:rsidRPr="0089644B" w14:paraId="416B8B29" w14:textId="77777777" w:rsidTr="00E16397">
        <w:trPr>
          <w:trHeight w:val="285"/>
        </w:trPr>
        <w:tc>
          <w:tcPr>
            <w:tcW w:w="2830" w:type="pct"/>
            <w:noWrap/>
            <w:hideMark/>
          </w:tcPr>
          <w:p w14:paraId="7F6D0713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Essential hypertension, n/N (%)</w:t>
            </w:r>
          </w:p>
        </w:tc>
        <w:tc>
          <w:tcPr>
            <w:tcW w:w="789" w:type="pct"/>
            <w:noWrap/>
            <w:hideMark/>
          </w:tcPr>
          <w:p w14:paraId="14B56D66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2/1,702 (0.1)</w:t>
            </w:r>
          </w:p>
        </w:tc>
        <w:tc>
          <w:tcPr>
            <w:tcW w:w="855" w:type="pct"/>
            <w:noWrap/>
            <w:hideMark/>
          </w:tcPr>
          <w:p w14:paraId="0F32A186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1/2,472 (0.0)</w:t>
            </w:r>
          </w:p>
        </w:tc>
        <w:tc>
          <w:tcPr>
            <w:tcW w:w="526" w:type="pct"/>
          </w:tcPr>
          <w:p w14:paraId="246B3F63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0.57</w:t>
            </w:r>
          </w:p>
        </w:tc>
      </w:tr>
      <w:tr w:rsidR="00771821" w:rsidRPr="0089644B" w14:paraId="2B077D56" w14:textId="77777777" w:rsidTr="00E16397">
        <w:trPr>
          <w:trHeight w:val="285"/>
        </w:trPr>
        <w:tc>
          <w:tcPr>
            <w:tcW w:w="2830" w:type="pct"/>
            <w:noWrap/>
          </w:tcPr>
          <w:p w14:paraId="55C687B3" w14:textId="77777777" w:rsidR="00771821" w:rsidRPr="00285480" w:rsidRDefault="00771821" w:rsidP="00771821">
            <w:pPr>
              <w:pStyle w:val="af1"/>
              <w:numPr>
                <w:ilvl w:val="0"/>
                <w:numId w:val="2"/>
              </w:numPr>
              <w:bidi w:val="0"/>
              <w:spacing w:before="60" w:after="60" w:line="480" w:lineRule="auto"/>
              <w:ind w:left="601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GB"/>
              </w:rPr>
            </w:pPr>
            <w:r w:rsidRPr="0028548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GB"/>
              </w:rPr>
              <w:t>Pregnancy-induced hypertension, n/N (%)</w:t>
            </w:r>
          </w:p>
        </w:tc>
        <w:tc>
          <w:tcPr>
            <w:tcW w:w="789" w:type="pct"/>
            <w:noWrap/>
          </w:tcPr>
          <w:p w14:paraId="3C50B5C5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1/1,702 (0.1)</w:t>
            </w:r>
          </w:p>
        </w:tc>
        <w:tc>
          <w:tcPr>
            <w:tcW w:w="855" w:type="pct"/>
            <w:noWrap/>
          </w:tcPr>
          <w:p w14:paraId="7F5A14F0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0/2,472 (0.0)</w:t>
            </w:r>
          </w:p>
        </w:tc>
        <w:tc>
          <w:tcPr>
            <w:tcW w:w="526" w:type="pct"/>
          </w:tcPr>
          <w:p w14:paraId="3DE23B3E" w14:textId="77777777" w:rsidR="00771821" w:rsidRPr="0089644B" w:rsidRDefault="00771821" w:rsidP="00E16397">
            <w:pPr>
              <w:bidi w:val="0"/>
              <w:spacing w:before="60" w:after="60" w:line="48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</w:pPr>
            <w:r w:rsidRPr="0089644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GB"/>
              </w:rPr>
              <w:t>0.41</w:t>
            </w:r>
          </w:p>
        </w:tc>
      </w:tr>
    </w:tbl>
    <w:p w14:paraId="44ADBC8A" w14:textId="77777777" w:rsidR="000B09E4" w:rsidRDefault="000B09E4" w:rsidP="00771821">
      <w:pPr>
        <w:bidi w:val="0"/>
        <w:spacing w:after="120" w:line="480" w:lineRule="auto"/>
        <w:rPr>
          <w:rFonts w:asciiTheme="majorBidi" w:hAnsiTheme="majorBidi" w:cstheme="majorBidi"/>
          <w:sz w:val="24"/>
          <w:szCs w:val="24"/>
          <w:vertAlign w:val="superscript"/>
          <w:lang w:val="en-GB"/>
        </w:rPr>
      </w:pPr>
      <w:r w:rsidRPr="0089644B">
        <w:rPr>
          <w:rFonts w:asciiTheme="majorBidi" w:hAnsiTheme="majorBidi" w:cstheme="majorBidi"/>
          <w:sz w:val="24"/>
          <w:szCs w:val="24"/>
          <w:lang w:val="en-GB"/>
        </w:rPr>
        <w:t>Abbreviations: CMA, chromosomal microarray analysis; IQR, interquartile range; SD, standard deviation</w:t>
      </w: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 xml:space="preserve"> </w:t>
      </w:r>
    </w:p>
    <w:p w14:paraId="59600E7A" w14:textId="5826C1C3" w:rsidR="00771821" w:rsidRPr="0089644B" w:rsidRDefault="000B09E4" w:rsidP="000B09E4">
      <w:pPr>
        <w:bidi w:val="0"/>
        <w:spacing w:after="120" w:line="48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a</w:t>
      </w:r>
      <w:r w:rsidR="00771821" w:rsidRPr="0089644B">
        <w:rPr>
          <w:rFonts w:asciiTheme="majorBidi" w:hAnsiTheme="majorBidi" w:cstheme="majorBidi"/>
          <w:sz w:val="24"/>
          <w:szCs w:val="24"/>
          <w:lang w:val="en-GB"/>
        </w:rPr>
        <w:t xml:space="preserve">Gestational age and weight on </w:t>
      </w:r>
      <w:r w:rsidR="00771821" w:rsidRPr="0089644B">
        <w:rPr>
          <w:rFonts w:asciiTheme="majorBidi" w:eastAsia="Times New Roman" w:hAnsiTheme="majorBidi" w:cstheme="majorBidi"/>
          <w:color w:val="000000"/>
          <w:sz w:val="24"/>
          <w:szCs w:val="24"/>
          <w:lang w:val="en-GB"/>
        </w:rPr>
        <w:t>day of procedure</w:t>
      </w:r>
    </w:p>
    <w:p w14:paraId="55184E0A" w14:textId="4B490C90" w:rsidR="00771821" w:rsidRPr="0089644B" w:rsidRDefault="000B09E4" w:rsidP="00771821">
      <w:pPr>
        <w:bidi w:val="0"/>
        <w:spacing w:after="120" w:line="48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b</w:t>
      </w:r>
      <w:r w:rsidR="00771821" w:rsidRPr="0089644B">
        <w:rPr>
          <w:rFonts w:asciiTheme="majorBidi" w:hAnsiTheme="majorBidi" w:cstheme="majorBidi"/>
          <w:sz w:val="24"/>
          <w:szCs w:val="24"/>
          <w:lang w:val="en-GB"/>
        </w:rPr>
        <w:t>Including the current pregnancy</w:t>
      </w:r>
    </w:p>
    <w:p w14:paraId="2BBA05A6" w14:textId="6C5D1172" w:rsidR="0033569A" w:rsidRPr="00CB5FF7" w:rsidRDefault="0033569A" w:rsidP="00CB5FF7">
      <w:pPr>
        <w:bidi w:val="0"/>
        <w:spacing w:after="120" w:line="48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sectPr w:rsidR="0033569A" w:rsidRPr="00CB5FF7" w:rsidSect="007D43BD">
      <w:footerReference w:type="default" r:id="rId7"/>
      <w:type w:val="continuous"/>
      <w:pgSz w:w="11906" w:h="16838"/>
      <w:pgMar w:top="1440" w:right="1378" w:bottom="2552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2BF15" w14:textId="77777777" w:rsidR="00EB37C4" w:rsidRDefault="00EB37C4">
      <w:pPr>
        <w:spacing w:after="0" w:line="240" w:lineRule="auto"/>
      </w:pPr>
      <w:r>
        <w:separator/>
      </w:r>
    </w:p>
  </w:endnote>
  <w:endnote w:type="continuationSeparator" w:id="0">
    <w:p w14:paraId="31E91674" w14:textId="77777777" w:rsidR="00EB37C4" w:rsidRDefault="00EB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3F96D" w14:textId="77777777" w:rsidR="00771821" w:rsidRDefault="0077182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060C" w:rsidRPr="0063060C">
      <w:rPr>
        <w:rFonts w:cs="Calibri"/>
        <w:noProof/>
        <w:rtl/>
        <w:lang w:val="he-IL"/>
      </w:rPr>
      <w:t>1</w:t>
    </w:r>
    <w:r>
      <w:fldChar w:fldCharType="end"/>
    </w:r>
  </w:p>
  <w:p w14:paraId="1F6499CD" w14:textId="77777777" w:rsidR="00771821" w:rsidRDefault="007718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80F36" w14:textId="77777777" w:rsidR="00EB37C4" w:rsidRDefault="00EB37C4">
      <w:pPr>
        <w:spacing w:after="0" w:line="240" w:lineRule="auto"/>
      </w:pPr>
      <w:r>
        <w:separator/>
      </w:r>
    </w:p>
  </w:footnote>
  <w:footnote w:type="continuationSeparator" w:id="0">
    <w:p w14:paraId="07D513AF" w14:textId="77777777" w:rsidR="00EB37C4" w:rsidRDefault="00EB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36BF"/>
    <w:multiLevelType w:val="hybridMultilevel"/>
    <w:tmpl w:val="119CFA4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759D5C1E"/>
    <w:multiLevelType w:val="hybridMultilevel"/>
    <w:tmpl w:val="F46678E8"/>
    <w:lvl w:ilvl="0" w:tplc="1786CA3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7E"/>
    <w:rsid w:val="00000246"/>
    <w:rsid w:val="00000C7C"/>
    <w:rsid w:val="00002173"/>
    <w:rsid w:val="000050BB"/>
    <w:rsid w:val="0000562A"/>
    <w:rsid w:val="00005F19"/>
    <w:rsid w:val="00006077"/>
    <w:rsid w:val="000109E6"/>
    <w:rsid w:val="00011FD1"/>
    <w:rsid w:val="00017B02"/>
    <w:rsid w:val="00020C5C"/>
    <w:rsid w:val="0002587D"/>
    <w:rsid w:val="00026A07"/>
    <w:rsid w:val="0002744E"/>
    <w:rsid w:val="00030519"/>
    <w:rsid w:val="00032C56"/>
    <w:rsid w:val="00032E02"/>
    <w:rsid w:val="000406C2"/>
    <w:rsid w:val="00042059"/>
    <w:rsid w:val="00045D78"/>
    <w:rsid w:val="000460B3"/>
    <w:rsid w:val="0005390D"/>
    <w:rsid w:val="00054FB1"/>
    <w:rsid w:val="0006097D"/>
    <w:rsid w:val="00062B02"/>
    <w:rsid w:val="00064FBE"/>
    <w:rsid w:val="000656DE"/>
    <w:rsid w:val="000757D6"/>
    <w:rsid w:val="00075B16"/>
    <w:rsid w:val="0008111F"/>
    <w:rsid w:val="0008157F"/>
    <w:rsid w:val="0008455F"/>
    <w:rsid w:val="00084AB2"/>
    <w:rsid w:val="00087A17"/>
    <w:rsid w:val="00091094"/>
    <w:rsid w:val="00096363"/>
    <w:rsid w:val="000A6D5A"/>
    <w:rsid w:val="000A78AB"/>
    <w:rsid w:val="000B09E4"/>
    <w:rsid w:val="000B68A1"/>
    <w:rsid w:val="000B731A"/>
    <w:rsid w:val="000C1ACE"/>
    <w:rsid w:val="000C59BD"/>
    <w:rsid w:val="000C6F38"/>
    <w:rsid w:val="000D2CED"/>
    <w:rsid w:val="000D76F4"/>
    <w:rsid w:val="000E76B6"/>
    <w:rsid w:val="00105A61"/>
    <w:rsid w:val="00105DC4"/>
    <w:rsid w:val="00106794"/>
    <w:rsid w:val="001073FC"/>
    <w:rsid w:val="00111555"/>
    <w:rsid w:val="00111A79"/>
    <w:rsid w:val="00113100"/>
    <w:rsid w:val="00121BAE"/>
    <w:rsid w:val="00121C4E"/>
    <w:rsid w:val="00121C76"/>
    <w:rsid w:val="001264D3"/>
    <w:rsid w:val="00127812"/>
    <w:rsid w:val="00137D12"/>
    <w:rsid w:val="0014248B"/>
    <w:rsid w:val="00150C4A"/>
    <w:rsid w:val="00153ACC"/>
    <w:rsid w:val="001677AD"/>
    <w:rsid w:val="00173ADB"/>
    <w:rsid w:val="001741FA"/>
    <w:rsid w:val="00182271"/>
    <w:rsid w:val="00183FA1"/>
    <w:rsid w:val="00185785"/>
    <w:rsid w:val="00187195"/>
    <w:rsid w:val="0019345D"/>
    <w:rsid w:val="00196ED7"/>
    <w:rsid w:val="001A7A9E"/>
    <w:rsid w:val="001A7C4A"/>
    <w:rsid w:val="001B163F"/>
    <w:rsid w:val="001C17EA"/>
    <w:rsid w:val="001C3D9D"/>
    <w:rsid w:val="001C677A"/>
    <w:rsid w:val="001D1FAC"/>
    <w:rsid w:val="001E0166"/>
    <w:rsid w:val="001E016B"/>
    <w:rsid w:val="001E226E"/>
    <w:rsid w:val="001E23B2"/>
    <w:rsid w:val="001F144E"/>
    <w:rsid w:val="001F2CE8"/>
    <w:rsid w:val="001F46AB"/>
    <w:rsid w:val="001F7256"/>
    <w:rsid w:val="002041CF"/>
    <w:rsid w:val="002042F9"/>
    <w:rsid w:val="00207720"/>
    <w:rsid w:val="00210311"/>
    <w:rsid w:val="00211799"/>
    <w:rsid w:val="00214523"/>
    <w:rsid w:val="00215EB0"/>
    <w:rsid w:val="0022189E"/>
    <w:rsid w:val="00222B14"/>
    <w:rsid w:val="00222D40"/>
    <w:rsid w:val="00225000"/>
    <w:rsid w:val="00230692"/>
    <w:rsid w:val="00232B31"/>
    <w:rsid w:val="0023409E"/>
    <w:rsid w:val="00234293"/>
    <w:rsid w:val="002356C2"/>
    <w:rsid w:val="00235C7E"/>
    <w:rsid w:val="00235FA8"/>
    <w:rsid w:val="0023637A"/>
    <w:rsid w:val="0024244F"/>
    <w:rsid w:val="00244224"/>
    <w:rsid w:val="0025257F"/>
    <w:rsid w:val="00254208"/>
    <w:rsid w:val="002610EE"/>
    <w:rsid w:val="00263FA0"/>
    <w:rsid w:val="0027545A"/>
    <w:rsid w:val="002757AC"/>
    <w:rsid w:val="002800D0"/>
    <w:rsid w:val="00280D99"/>
    <w:rsid w:val="00281730"/>
    <w:rsid w:val="00282409"/>
    <w:rsid w:val="00285480"/>
    <w:rsid w:val="00285CDE"/>
    <w:rsid w:val="00287FD2"/>
    <w:rsid w:val="0029366B"/>
    <w:rsid w:val="002936B1"/>
    <w:rsid w:val="002971EF"/>
    <w:rsid w:val="002A2B8A"/>
    <w:rsid w:val="002B25AE"/>
    <w:rsid w:val="002B597E"/>
    <w:rsid w:val="002E4F61"/>
    <w:rsid w:val="00302F0D"/>
    <w:rsid w:val="0031168A"/>
    <w:rsid w:val="003142AB"/>
    <w:rsid w:val="003167B1"/>
    <w:rsid w:val="00316822"/>
    <w:rsid w:val="003169BC"/>
    <w:rsid w:val="00327737"/>
    <w:rsid w:val="003304C3"/>
    <w:rsid w:val="003340C9"/>
    <w:rsid w:val="00334D5F"/>
    <w:rsid w:val="0033569A"/>
    <w:rsid w:val="003441CE"/>
    <w:rsid w:val="00346CF5"/>
    <w:rsid w:val="00347937"/>
    <w:rsid w:val="0035086C"/>
    <w:rsid w:val="00351024"/>
    <w:rsid w:val="00356888"/>
    <w:rsid w:val="00356AB4"/>
    <w:rsid w:val="00361076"/>
    <w:rsid w:val="00371727"/>
    <w:rsid w:val="00376D81"/>
    <w:rsid w:val="0038358B"/>
    <w:rsid w:val="003856A2"/>
    <w:rsid w:val="00386773"/>
    <w:rsid w:val="00387AF6"/>
    <w:rsid w:val="003904BB"/>
    <w:rsid w:val="00396CE1"/>
    <w:rsid w:val="003A02A6"/>
    <w:rsid w:val="003A1865"/>
    <w:rsid w:val="003A5109"/>
    <w:rsid w:val="003A5963"/>
    <w:rsid w:val="003A60CC"/>
    <w:rsid w:val="003B0B73"/>
    <w:rsid w:val="003B2EAF"/>
    <w:rsid w:val="003C0C49"/>
    <w:rsid w:val="003D362C"/>
    <w:rsid w:val="003D501A"/>
    <w:rsid w:val="003E2236"/>
    <w:rsid w:val="00401B52"/>
    <w:rsid w:val="004035BC"/>
    <w:rsid w:val="004233FD"/>
    <w:rsid w:val="0042516C"/>
    <w:rsid w:val="0042555D"/>
    <w:rsid w:val="00437B0F"/>
    <w:rsid w:val="004418CD"/>
    <w:rsid w:val="00442D24"/>
    <w:rsid w:val="00450D88"/>
    <w:rsid w:val="004522D1"/>
    <w:rsid w:val="004542FA"/>
    <w:rsid w:val="00461952"/>
    <w:rsid w:val="00472B8F"/>
    <w:rsid w:val="0047570F"/>
    <w:rsid w:val="00475EF1"/>
    <w:rsid w:val="004846FE"/>
    <w:rsid w:val="004910A3"/>
    <w:rsid w:val="004A041A"/>
    <w:rsid w:val="004A15DB"/>
    <w:rsid w:val="004A2C3D"/>
    <w:rsid w:val="004A2E07"/>
    <w:rsid w:val="004A4FF3"/>
    <w:rsid w:val="004D2247"/>
    <w:rsid w:val="004D4AE8"/>
    <w:rsid w:val="004D6E5B"/>
    <w:rsid w:val="004E4043"/>
    <w:rsid w:val="004F53F2"/>
    <w:rsid w:val="004F6ABF"/>
    <w:rsid w:val="004F70D3"/>
    <w:rsid w:val="0050526E"/>
    <w:rsid w:val="005104E8"/>
    <w:rsid w:val="00523E89"/>
    <w:rsid w:val="00525E64"/>
    <w:rsid w:val="00527110"/>
    <w:rsid w:val="00527977"/>
    <w:rsid w:val="00532E83"/>
    <w:rsid w:val="00535A1B"/>
    <w:rsid w:val="00540838"/>
    <w:rsid w:val="00543969"/>
    <w:rsid w:val="00557FAF"/>
    <w:rsid w:val="00561D85"/>
    <w:rsid w:val="0056615A"/>
    <w:rsid w:val="00566AA8"/>
    <w:rsid w:val="00570797"/>
    <w:rsid w:val="005725D9"/>
    <w:rsid w:val="00574588"/>
    <w:rsid w:val="0057505C"/>
    <w:rsid w:val="00583469"/>
    <w:rsid w:val="0059014D"/>
    <w:rsid w:val="0059453C"/>
    <w:rsid w:val="005953EE"/>
    <w:rsid w:val="0059678A"/>
    <w:rsid w:val="005A1ECF"/>
    <w:rsid w:val="005A49E9"/>
    <w:rsid w:val="005A5574"/>
    <w:rsid w:val="005A6062"/>
    <w:rsid w:val="005A6552"/>
    <w:rsid w:val="005B3149"/>
    <w:rsid w:val="005B3955"/>
    <w:rsid w:val="005B44D4"/>
    <w:rsid w:val="005C030B"/>
    <w:rsid w:val="005C0DB6"/>
    <w:rsid w:val="005C2B89"/>
    <w:rsid w:val="005C5C58"/>
    <w:rsid w:val="005D1E75"/>
    <w:rsid w:val="005D3F19"/>
    <w:rsid w:val="005D5775"/>
    <w:rsid w:val="005D5A81"/>
    <w:rsid w:val="005E2A29"/>
    <w:rsid w:val="005E7449"/>
    <w:rsid w:val="0060036E"/>
    <w:rsid w:val="00603DE4"/>
    <w:rsid w:val="00607D40"/>
    <w:rsid w:val="006117FB"/>
    <w:rsid w:val="006120A9"/>
    <w:rsid w:val="00612FC1"/>
    <w:rsid w:val="00616A5E"/>
    <w:rsid w:val="006205AE"/>
    <w:rsid w:val="00621A4B"/>
    <w:rsid w:val="006224F3"/>
    <w:rsid w:val="0062304B"/>
    <w:rsid w:val="0063060C"/>
    <w:rsid w:val="00632CF2"/>
    <w:rsid w:val="006378CC"/>
    <w:rsid w:val="0064362F"/>
    <w:rsid w:val="00645A4E"/>
    <w:rsid w:val="0065037C"/>
    <w:rsid w:val="00651CF3"/>
    <w:rsid w:val="006544AA"/>
    <w:rsid w:val="00656CEA"/>
    <w:rsid w:val="00660228"/>
    <w:rsid w:val="0067075D"/>
    <w:rsid w:val="006737D6"/>
    <w:rsid w:val="00691F23"/>
    <w:rsid w:val="006953BD"/>
    <w:rsid w:val="00695B3D"/>
    <w:rsid w:val="006967C4"/>
    <w:rsid w:val="006A0BB5"/>
    <w:rsid w:val="006A0E18"/>
    <w:rsid w:val="006A42EF"/>
    <w:rsid w:val="006C0F5C"/>
    <w:rsid w:val="006C4F8E"/>
    <w:rsid w:val="006D6E29"/>
    <w:rsid w:val="006E4A85"/>
    <w:rsid w:val="006E4FC0"/>
    <w:rsid w:val="006E6D71"/>
    <w:rsid w:val="006F2A43"/>
    <w:rsid w:val="0070535C"/>
    <w:rsid w:val="00706FB3"/>
    <w:rsid w:val="00714547"/>
    <w:rsid w:val="0072099E"/>
    <w:rsid w:val="00724606"/>
    <w:rsid w:val="007341DF"/>
    <w:rsid w:val="00741D45"/>
    <w:rsid w:val="00750886"/>
    <w:rsid w:val="00752670"/>
    <w:rsid w:val="00752B36"/>
    <w:rsid w:val="00755C2B"/>
    <w:rsid w:val="0075660F"/>
    <w:rsid w:val="00761934"/>
    <w:rsid w:val="00762F50"/>
    <w:rsid w:val="007635FC"/>
    <w:rsid w:val="00764E66"/>
    <w:rsid w:val="00771821"/>
    <w:rsid w:val="0077307E"/>
    <w:rsid w:val="00783938"/>
    <w:rsid w:val="007935DE"/>
    <w:rsid w:val="00794E90"/>
    <w:rsid w:val="00796C1B"/>
    <w:rsid w:val="007A2C82"/>
    <w:rsid w:val="007A7266"/>
    <w:rsid w:val="007A7402"/>
    <w:rsid w:val="007B098F"/>
    <w:rsid w:val="007B263E"/>
    <w:rsid w:val="007C68FA"/>
    <w:rsid w:val="007C6B92"/>
    <w:rsid w:val="007C79CE"/>
    <w:rsid w:val="007D0A9C"/>
    <w:rsid w:val="007D29F2"/>
    <w:rsid w:val="007D43BD"/>
    <w:rsid w:val="007D540A"/>
    <w:rsid w:val="007D7363"/>
    <w:rsid w:val="007E34AC"/>
    <w:rsid w:val="007F4701"/>
    <w:rsid w:val="007F561D"/>
    <w:rsid w:val="0080167F"/>
    <w:rsid w:val="00803922"/>
    <w:rsid w:val="00803DB0"/>
    <w:rsid w:val="0080433E"/>
    <w:rsid w:val="00814218"/>
    <w:rsid w:val="00814F67"/>
    <w:rsid w:val="00817154"/>
    <w:rsid w:val="0082322B"/>
    <w:rsid w:val="00833708"/>
    <w:rsid w:val="00836454"/>
    <w:rsid w:val="00836BF4"/>
    <w:rsid w:val="0084082A"/>
    <w:rsid w:val="008457F0"/>
    <w:rsid w:val="00847269"/>
    <w:rsid w:val="00851D89"/>
    <w:rsid w:val="00851F9D"/>
    <w:rsid w:val="008541B6"/>
    <w:rsid w:val="00854D19"/>
    <w:rsid w:val="00855951"/>
    <w:rsid w:val="008576A0"/>
    <w:rsid w:val="008660B4"/>
    <w:rsid w:val="00867DF7"/>
    <w:rsid w:val="008711A5"/>
    <w:rsid w:val="0087128F"/>
    <w:rsid w:val="00876DFB"/>
    <w:rsid w:val="00877686"/>
    <w:rsid w:val="0088490A"/>
    <w:rsid w:val="008913F8"/>
    <w:rsid w:val="0089372F"/>
    <w:rsid w:val="008A1CBA"/>
    <w:rsid w:val="008A5FCC"/>
    <w:rsid w:val="008B1041"/>
    <w:rsid w:val="008B3293"/>
    <w:rsid w:val="008B627E"/>
    <w:rsid w:val="008B64AD"/>
    <w:rsid w:val="008D21A1"/>
    <w:rsid w:val="008D44D8"/>
    <w:rsid w:val="008D6E15"/>
    <w:rsid w:val="008E4102"/>
    <w:rsid w:val="008E426F"/>
    <w:rsid w:val="008E5514"/>
    <w:rsid w:val="008E5EA1"/>
    <w:rsid w:val="008E7E10"/>
    <w:rsid w:val="008F5FBE"/>
    <w:rsid w:val="008F7434"/>
    <w:rsid w:val="009028E0"/>
    <w:rsid w:val="00903A49"/>
    <w:rsid w:val="0090625A"/>
    <w:rsid w:val="0091364F"/>
    <w:rsid w:val="0091685E"/>
    <w:rsid w:val="00922245"/>
    <w:rsid w:val="009313B0"/>
    <w:rsid w:val="00932095"/>
    <w:rsid w:val="009329F6"/>
    <w:rsid w:val="00937E47"/>
    <w:rsid w:val="00937F18"/>
    <w:rsid w:val="00945A74"/>
    <w:rsid w:val="00947348"/>
    <w:rsid w:val="00947411"/>
    <w:rsid w:val="0095017D"/>
    <w:rsid w:val="0095352B"/>
    <w:rsid w:val="0096499D"/>
    <w:rsid w:val="009676E9"/>
    <w:rsid w:val="00967FAA"/>
    <w:rsid w:val="009703D3"/>
    <w:rsid w:val="009740F0"/>
    <w:rsid w:val="00975E70"/>
    <w:rsid w:val="00976EAA"/>
    <w:rsid w:val="009839BF"/>
    <w:rsid w:val="0098403F"/>
    <w:rsid w:val="0099100F"/>
    <w:rsid w:val="00997622"/>
    <w:rsid w:val="009A5399"/>
    <w:rsid w:val="009A63F1"/>
    <w:rsid w:val="009B0A6C"/>
    <w:rsid w:val="009B43B4"/>
    <w:rsid w:val="009B490E"/>
    <w:rsid w:val="009B5264"/>
    <w:rsid w:val="009B53A5"/>
    <w:rsid w:val="009C3362"/>
    <w:rsid w:val="009C4DE7"/>
    <w:rsid w:val="009E21FD"/>
    <w:rsid w:val="009E5042"/>
    <w:rsid w:val="009E5F0F"/>
    <w:rsid w:val="009E6910"/>
    <w:rsid w:val="009E6965"/>
    <w:rsid w:val="009E7CDF"/>
    <w:rsid w:val="00A027C4"/>
    <w:rsid w:val="00A037C9"/>
    <w:rsid w:val="00A05F77"/>
    <w:rsid w:val="00A06B5B"/>
    <w:rsid w:val="00A079D6"/>
    <w:rsid w:val="00A1127F"/>
    <w:rsid w:val="00A11AC8"/>
    <w:rsid w:val="00A15EC5"/>
    <w:rsid w:val="00A24003"/>
    <w:rsid w:val="00A26431"/>
    <w:rsid w:val="00A26EFE"/>
    <w:rsid w:val="00A30549"/>
    <w:rsid w:val="00A313ED"/>
    <w:rsid w:val="00A3586E"/>
    <w:rsid w:val="00A40996"/>
    <w:rsid w:val="00A43598"/>
    <w:rsid w:val="00A4596A"/>
    <w:rsid w:val="00A54C51"/>
    <w:rsid w:val="00A62F3A"/>
    <w:rsid w:val="00A63D07"/>
    <w:rsid w:val="00A70838"/>
    <w:rsid w:val="00A711BB"/>
    <w:rsid w:val="00A72B7D"/>
    <w:rsid w:val="00A72C0E"/>
    <w:rsid w:val="00A8212A"/>
    <w:rsid w:val="00A84D56"/>
    <w:rsid w:val="00A84D6D"/>
    <w:rsid w:val="00A86165"/>
    <w:rsid w:val="00A95584"/>
    <w:rsid w:val="00AA1D02"/>
    <w:rsid w:val="00AA2560"/>
    <w:rsid w:val="00AA77D4"/>
    <w:rsid w:val="00AB077A"/>
    <w:rsid w:val="00AB0CC2"/>
    <w:rsid w:val="00AB42C7"/>
    <w:rsid w:val="00AB49BC"/>
    <w:rsid w:val="00AB6497"/>
    <w:rsid w:val="00AB7FA9"/>
    <w:rsid w:val="00AC221D"/>
    <w:rsid w:val="00AC3087"/>
    <w:rsid w:val="00AC7E48"/>
    <w:rsid w:val="00AD3C61"/>
    <w:rsid w:val="00AD503E"/>
    <w:rsid w:val="00AE0AE4"/>
    <w:rsid w:val="00AE20E5"/>
    <w:rsid w:val="00AF2029"/>
    <w:rsid w:val="00AF69B0"/>
    <w:rsid w:val="00AF6DCC"/>
    <w:rsid w:val="00B11072"/>
    <w:rsid w:val="00B132EB"/>
    <w:rsid w:val="00B20B69"/>
    <w:rsid w:val="00B2289F"/>
    <w:rsid w:val="00B22ACD"/>
    <w:rsid w:val="00B25B2C"/>
    <w:rsid w:val="00B3113A"/>
    <w:rsid w:val="00B33B6E"/>
    <w:rsid w:val="00B43033"/>
    <w:rsid w:val="00B447F1"/>
    <w:rsid w:val="00B447FA"/>
    <w:rsid w:val="00B50E4E"/>
    <w:rsid w:val="00B52C76"/>
    <w:rsid w:val="00B538B1"/>
    <w:rsid w:val="00B5423F"/>
    <w:rsid w:val="00B635FE"/>
    <w:rsid w:val="00B67ACF"/>
    <w:rsid w:val="00B71FEB"/>
    <w:rsid w:val="00B737B6"/>
    <w:rsid w:val="00B86D56"/>
    <w:rsid w:val="00B918A6"/>
    <w:rsid w:val="00B92B5E"/>
    <w:rsid w:val="00B943EC"/>
    <w:rsid w:val="00BA0182"/>
    <w:rsid w:val="00BA0C02"/>
    <w:rsid w:val="00BA52D7"/>
    <w:rsid w:val="00BB00AF"/>
    <w:rsid w:val="00BB4F85"/>
    <w:rsid w:val="00BE04CC"/>
    <w:rsid w:val="00BE1A08"/>
    <w:rsid w:val="00BE3198"/>
    <w:rsid w:val="00BE4595"/>
    <w:rsid w:val="00BE721D"/>
    <w:rsid w:val="00BF12AC"/>
    <w:rsid w:val="00BF33B3"/>
    <w:rsid w:val="00C01120"/>
    <w:rsid w:val="00C06AF0"/>
    <w:rsid w:val="00C34B6F"/>
    <w:rsid w:val="00C42EE5"/>
    <w:rsid w:val="00C45EB3"/>
    <w:rsid w:val="00C510F0"/>
    <w:rsid w:val="00C53BD2"/>
    <w:rsid w:val="00C54B4F"/>
    <w:rsid w:val="00C57B63"/>
    <w:rsid w:val="00C62737"/>
    <w:rsid w:val="00C662AE"/>
    <w:rsid w:val="00C671B2"/>
    <w:rsid w:val="00C71758"/>
    <w:rsid w:val="00C75053"/>
    <w:rsid w:val="00C81658"/>
    <w:rsid w:val="00C83130"/>
    <w:rsid w:val="00C92A8A"/>
    <w:rsid w:val="00C97611"/>
    <w:rsid w:val="00CA12B9"/>
    <w:rsid w:val="00CB0751"/>
    <w:rsid w:val="00CB532A"/>
    <w:rsid w:val="00CB58AF"/>
    <w:rsid w:val="00CB5A1C"/>
    <w:rsid w:val="00CB5FF7"/>
    <w:rsid w:val="00CB6F25"/>
    <w:rsid w:val="00CC18C2"/>
    <w:rsid w:val="00CC3C32"/>
    <w:rsid w:val="00CD11EF"/>
    <w:rsid w:val="00CD5517"/>
    <w:rsid w:val="00CE28B3"/>
    <w:rsid w:val="00CE6697"/>
    <w:rsid w:val="00CF18D6"/>
    <w:rsid w:val="00CF2ACF"/>
    <w:rsid w:val="00CF36A9"/>
    <w:rsid w:val="00CF6586"/>
    <w:rsid w:val="00CF7B95"/>
    <w:rsid w:val="00D02B39"/>
    <w:rsid w:val="00D05FD8"/>
    <w:rsid w:val="00D063A5"/>
    <w:rsid w:val="00D07E26"/>
    <w:rsid w:val="00D12B3A"/>
    <w:rsid w:val="00D206B4"/>
    <w:rsid w:val="00D27AD7"/>
    <w:rsid w:val="00D3442E"/>
    <w:rsid w:val="00D40C7D"/>
    <w:rsid w:val="00D439C9"/>
    <w:rsid w:val="00D44E43"/>
    <w:rsid w:val="00D5226E"/>
    <w:rsid w:val="00D551D7"/>
    <w:rsid w:val="00D55233"/>
    <w:rsid w:val="00D600CC"/>
    <w:rsid w:val="00D60FA5"/>
    <w:rsid w:val="00D6350D"/>
    <w:rsid w:val="00D64812"/>
    <w:rsid w:val="00D661B0"/>
    <w:rsid w:val="00D7164D"/>
    <w:rsid w:val="00D751BD"/>
    <w:rsid w:val="00D76917"/>
    <w:rsid w:val="00D770E3"/>
    <w:rsid w:val="00D87D14"/>
    <w:rsid w:val="00D922FC"/>
    <w:rsid w:val="00D9775D"/>
    <w:rsid w:val="00DA008C"/>
    <w:rsid w:val="00DA1480"/>
    <w:rsid w:val="00DA1F72"/>
    <w:rsid w:val="00DA23A2"/>
    <w:rsid w:val="00DA3580"/>
    <w:rsid w:val="00DA4103"/>
    <w:rsid w:val="00DA422B"/>
    <w:rsid w:val="00DA671B"/>
    <w:rsid w:val="00DA6DB8"/>
    <w:rsid w:val="00DB051A"/>
    <w:rsid w:val="00DB6E21"/>
    <w:rsid w:val="00DD3686"/>
    <w:rsid w:val="00DE0533"/>
    <w:rsid w:val="00DF0062"/>
    <w:rsid w:val="00DF2B1F"/>
    <w:rsid w:val="00DF4614"/>
    <w:rsid w:val="00DF77D2"/>
    <w:rsid w:val="00E0030D"/>
    <w:rsid w:val="00E03AA2"/>
    <w:rsid w:val="00E078A7"/>
    <w:rsid w:val="00E124BD"/>
    <w:rsid w:val="00E20B4A"/>
    <w:rsid w:val="00E255D1"/>
    <w:rsid w:val="00E355D9"/>
    <w:rsid w:val="00E358A2"/>
    <w:rsid w:val="00E36DA8"/>
    <w:rsid w:val="00E40193"/>
    <w:rsid w:val="00E50B6C"/>
    <w:rsid w:val="00E51219"/>
    <w:rsid w:val="00E5636B"/>
    <w:rsid w:val="00E62EB6"/>
    <w:rsid w:val="00E700D6"/>
    <w:rsid w:val="00E7189E"/>
    <w:rsid w:val="00E73150"/>
    <w:rsid w:val="00E77149"/>
    <w:rsid w:val="00E822AC"/>
    <w:rsid w:val="00E82367"/>
    <w:rsid w:val="00E8392C"/>
    <w:rsid w:val="00E83961"/>
    <w:rsid w:val="00E90E55"/>
    <w:rsid w:val="00E919C4"/>
    <w:rsid w:val="00E91BB0"/>
    <w:rsid w:val="00E93749"/>
    <w:rsid w:val="00EA07A5"/>
    <w:rsid w:val="00EA6E7A"/>
    <w:rsid w:val="00EB2071"/>
    <w:rsid w:val="00EB37C4"/>
    <w:rsid w:val="00EB5827"/>
    <w:rsid w:val="00EB61C5"/>
    <w:rsid w:val="00EC0033"/>
    <w:rsid w:val="00EC65BF"/>
    <w:rsid w:val="00EC6896"/>
    <w:rsid w:val="00EC7DFC"/>
    <w:rsid w:val="00EE0D99"/>
    <w:rsid w:val="00EE5130"/>
    <w:rsid w:val="00F0414D"/>
    <w:rsid w:val="00F04BBE"/>
    <w:rsid w:val="00F07D30"/>
    <w:rsid w:val="00F10517"/>
    <w:rsid w:val="00F3158F"/>
    <w:rsid w:val="00F32481"/>
    <w:rsid w:val="00F362E8"/>
    <w:rsid w:val="00F36721"/>
    <w:rsid w:val="00F461DC"/>
    <w:rsid w:val="00F464DB"/>
    <w:rsid w:val="00F55FAB"/>
    <w:rsid w:val="00F56116"/>
    <w:rsid w:val="00F566DD"/>
    <w:rsid w:val="00F635E5"/>
    <w:rsid w:val="00F70715"/>
    <w:rsid w:val="00F7464C"/>
    <w:rsid w:val="00F74C6B"/>
    <w:rsid w:val="00F76E4F"/>
    <w:rsid w:val="00F77928"/>
    <w:rsid w:val="00F9643B"/>
    <w:rsid w:val="00FA2F24"/>
    <w:rsid w:val="00FA5410"/>
    <w:rsid w:val="00FB2E0D"/>
    <w:rsid w:val="00FC4B99"/>
    <w:rsid w:val="00FC7141"/>
    <w:rsid w:val="00FD58B6"/>
    <w:rsid w:val="00FF4BEA"/>
    <w:rsid w:val="00FF629E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46FF"/>
  <w15:docId w15:val="{016825D9-4727-49E2-8CAA-FC890D52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4E"/>
    <w:pPr>
      <w:bidi/>
    </w:pPr>
    <w:rPr>
      <w:rFonts w:ascii="Calibri" w:eastAsia="Calibri" w:hAnsi="Calibri" w:cs="Arial"/>
    </w:rPr>
  </w:style>
  <w:style w:type="paragraph" w:styleId="2">
    <w:name w:val="heading 2"/>
    <w:basedOn w:val="a"/>
    <w:next w:val="a"/>
    <w:link w:val="20"/>
    <w:uiPriority w:val="9"/>
    <w:unhideWhenUsed/>
    <w:qFormat/>
    <w:rsid w:val="008B62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8B62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39"/>
    <w:rsid w:val="008B627E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B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8B627E"/>
    <w:rPr>
      <w:rFonts w:ascii="Calibri" w:eastAsia="Calibri" w:hAnsi="Calibri" w:cs="Arial"/>
    </w:rPr>
  </w:style>
  <w:style w:type="character" w:styleId="a6">
    <w:name w:val="annotation reference"/>
    <w:uiPriority w:val="99"/>
    <w:semiHidden/>
    <w:unhideWhenUsed/>
    <w:rsid w:val="008B627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B627E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rsid w:val="008B627E"/>
    <w:rPr>
      <w:rFonts w:ascii="Calibri" w:eastAsia="Calibri" w:hAnsi="Calibri" w:cs="Arial"/>
      <w:sz w:val="20"/>
      <w:szCs w:val="20"/>
    </w:rPr>
  </w:style>
  <w:style w:type="character" w:styleId="a9">
    <w:name w:val="line number"/>
    <w:basedOn w:val="a0"/>
    <w:uiPriority w:val="99"/>
    <w:semiHidden/>
    <w:unhideWhenUsed/>
    <w:rsid w:val="008B627E"/>
  </w:style>
  <w:style w:type="paragraph" w:styleId="aa">
    <w:name w:val="Balloon Text"/>
    <w:basedOn w:val="a"/>
    <w:link w:val="ab"/>
    <w:uiPriority w:val="99"/>
    <w:semiHidden/>
    <w:unhideWhenUsed/>
    <w:rsid w:val="00836BF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836BF4"/>
    <w:rPr>
      <w:rFonts w:ascii="Tahoma" w:eastAsia="Calibri" w:hAnsi="Tahoma" w:cs="Tahoma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B50E4E"/>
    <w:rPr>
      <w:b/>
      <w:bCs/>
    </w:rPr>
  </w:style>
  <w:style w:type="character" w:customStyle="1" w:styleId="ad">
    <w:name w:val="נושא הערה תו"/>
    <w:basedOn w:val="a8"/>
    <w:link w:val="ac"/>
    <w:uiPriority w:val="99"/>
    <w:semiHidden/>
    <w:rsid w:val="00B50E4E"/>
    <w:rPr>
      <w:rFonts w:ascii="Calibri" w:eastAsia="Calibri" w:hAnsi="Calibri" w:cs="Arial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067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106794"/>
    <w:rPr>
      <w:rFonts w:ascii="Calibri" w:eastAsia="Calibri" w:hAnsi="Calibri" w:cs="Arial"/>
    </w:rPr>
  </w:style>
  <w:style w:type="paragraph" w:styleId="af0">
    <w:name w:val="Revision"/>
    <w:hidden/>
    <w:uiPriority w:val="99"/>
    <w:semiHidden/>
    <w:rsid w:val="00AB6497"/>
    <w:pPr>
      <w:spacing w:after="0" w:line="240" w:lineRule="auto"/>
    </w:pPr>
    <w:rPr>
      <w:rFonts w:ascii="Calibri" w:eastAsia="Calibri" w:hAnsi="Calibri" w:cs="Arial"/>
    </w:rPr>
  </w:style>
  <w:style w:type="paragraph" w:styleId="af1">
    <w:name w:val="List Paragraph"/>
    <w:basedOn w:val="a"/>
    <w:uiPriority w:val="34"/>
    <w:qFormat/>
    <w:rsid w:val="00A2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1267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Maccabi Health Services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קרן הוד</dc:creator>
  <cp:lastModifiedBy>קרן הוד</cp:lastModifiedBy>
  <cp:revision>2</cp:revision>
  <dcterms:created xsi:type="dcterms:W3CDTF">2021-04-14T20:20:00Z</dcterms:created>
  <dcterms:modified xsi:type="dcterms:W3CDTF">2021-04-14T20:20:00Z</dcterms:modified>
</cp:coreProperties>
</file>