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5D" w:rsidRDefault="00C47B5D" w:rsidP="00C47B5D">
      <w:pPr>
        <w:spacing w:after="0" w:line="240" w:lineRule="auto"/>
        <w:rPr>
          <w:b/>
          <w:lang w:val="en-GB"/>
        </w:rPr>
      </w:pPr>
      <w:r>
        <w:rPr>
          <w:b/>
          <w:bCs/>
          <w:lang w:val="en-GB"/>
        </w:rPr>
        <w:t>S2 Table</w:t>
      </w:r>
      <w:r>
        <w:rPr>
          <w:b/>
          <w:lang w:val="en-GB"/>
        </w:rPr>
        <w:t>: Gonorrhoea/Chlamydia (Gon/Chl), self-reported diagnoses in the previous 12 months</w:t>
      </w:r>
    </w:p>
    <w:tbl>
      <w:tblPr>
        <w:tblStyle w:val="TableGrid"/>
        <w:tblW w:w="5172" w:type="pct"/>
        <w:tblCellMar>
          <w:left w:w="91" w:type="dxa"/>
          <w:right w:w="28" w:type="dxa"/>
        </w:tblCellMar>
        <w:tblLook w:val="04A0" w:firstRow="1" w:lastRow="0" w:firstColumn="1" w:lastColumn="0" w:noHBand="0" w:noVBand="1"/>
      </w:tblPr>
      <w:tblGrid>
        <w:gridCol w:w="1978"/>
        <w:gridCol w:w="713"/>
        <w:gridCol w:w="713"/>
        <w:gridCol w:w="548"/>
        <w:gridCol w:w="548"/>
        <w:gridCol w:w="578"/>
        <w:gridCol w:w="546"/>
        <w:gridCol w:w="539"/>
        <w:gridCol w:w="535"/>
        <w:gridCol w:w="580"/>
        <w:gridCol w:w="580"/>
        <w:gridCol w:w="1202"/>
        <w:gridCol w:w="1234"/>
      </w:tblGrid>
      <w:tr w:rsidR="00C47B5D" w:rsidTr="004370A7">
        <w:tc>
          <w:tcPr>
            <w:tcW w:w="746" w:type="pct"/>
            <w:shd w:val="clear" w:color="auto" w:fill="D9D9D9" w:themeFill="background1" w:themeFillShade="D9"/>
          </w:tcPr>
          <w:p w:rsidR="00C47B5D" w:rsidRDefault="00C47B5D" w:rsidP="004370A7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Country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545" w:type="pct"/>
            <w:gridSpan w:val="2"/>
            <w:shd w:val="clear" w:color="auto" w:fill="D9D9D9" w:themeFill="background1" w:themeFillShade="D9"/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Total 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N</w:t>
            </w:r>
          </w:p>
        </w:tc>
        <w:tc>
          <w:tcPr>
            <w:tcW w:w="747" w:type="pct"/>
            <w:gridSpan w:val="2"/>
            <w:shd w:val="clear" w:color="auto" w:fill="D9D9D9" w:themeFill="background1" w:themeFillShade="D9"/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Gon/Chl diagnosis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>n (%)</w:t>
            </w:r>
          </w:p>
        </w:tc>
        <w:tc>
          <w:tcPr>
            <w:tcW w:w="626" w:type="pct"/>
            <w:gridSpan w:val="2"/>
            <w:shd w:val="clear" w:color="auto" w:fill="D9D9D9" w:themeFill="background1" w:themeFillShade="D9"/>
          </w:tcPr>
          <w:p w:rsidR="00C47B5D" w:rsidRDefault="00C47B5D" w:rsidP="004370A7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Unclassifiable 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  <w:t>n (%)</w:t>
            </w:r>
          </w:p>
        </w:tc>
        <w:tc>
          <w:tcPr>
            <w:tcW w:w="620" w:type="pct"/>
            <w:gridSpan w:val="2"/>
            <w:shd w:val="clear" w:color="auto" w:fill="D9D9D9" w:themeFill="background1" w:themeFillShade="D9"/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Classified symptomatic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  <w:t>n (%)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C47B5D" w:rsidRDefault="00C47B5D" w:rsidP="004370A7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Classified asymptomatic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  <w:t>n (%)</w:t>
            </w:r>
          </w:p>
        </w:tc>
        <w:tc>
          <w:tcPr>
            <w:tcW w:w="1100" w:type="pct"/>
            <w:gridSpan w:val="2"/>
            <w:shd w:val="clear" w:color="auto" w:fill="D9D9D9" w:themeFill="background1" w:themeFillShade="D9"/>
          </w:tcPr>
          <w:p w:rsidR="00C47B5D" w:rsidRDefault="00C47B5D" w:rsidP="004370A7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Screened with a urine-based STI test</w:t>
            </w:r>
            <w:r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br/>
              <w:t xml:space="preserve">(or genital swab)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anal swab; n/N (%)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C47B5D" w:rsidRDefault="00C47B5D" w:rsidP="004370A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GB"/>
              </w:rPr>
              <w:t>2017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pacing w:val="-13"/>
                <w:sz w:val="18"/>
                <w:szCs w:val="18"/>
                <w:lang w:val="en-GB"/>
              </w:rPr>
            </w:pPr>
            <w:r>
              <w:rPr>
                <w:rFonts w:cstheme="minorHAnsi"/>
                <w:spacing w:val="-13"/>
                <w:sz w:val="18"/>
                <w:szCs w:val="18"/>
                <w:lang w:val="en-GB"/>
              </w:rPr>
              <w:t>Albania/Montenegro/Kosovo</w:t>
            </w:r>
            <w:r>
              <w:rPr>
                <w:rFonts w:cstheme="minorHAnsi"/>
                <w:b/>
                <w:bCs/>
                <w:spacing w:val="-13"/>
                <w:sz w:val="18"/>
                <w:szCs w:val="18"/>
                <w:vertAlign w:val="superscript"/>
                <w:lang w:val="en-GB"/>
              </w:rPr>
              <w:t>‡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171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(1.0)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(5.8)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(1.0)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(3.5)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(1.8)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(0.6)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1/101 (1.0)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5/162 (3.1)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4,195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2,705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148 (3.5)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166 (6.1)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63 (1.5)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88 (3.3)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62 (1.5)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50 (1.9)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 (1.0)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149/4,070 (3.7)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174/2,567 (6.8)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Belarus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379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440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 (7.4)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 (4.8)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 (2.4)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(1.6)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(2.1)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(2.3)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(2.9)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(0.9)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22/362 (6.1)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33/423 (7.8)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4,129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3,038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247 (6.0)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321 (10.6)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137 (3.3)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184 (6.1)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85 (2.1)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66 (2.2)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71 (2.3)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60/3,907 (1.5)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277/2,788 (9.9)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Bosnia &amp; Herzegovina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232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(3.1)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(1.7)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(1.2)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(0.4)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(1.9)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(0.4)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3/157 (1.9)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6/229 (2.6)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1,078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1,177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 (2.7)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59 (5.0)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 (1.5)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41 (3.5)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(0.9)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 (1.2)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22/1,052 (2.1)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25/1,122 (2.2)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536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1,015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(1.5)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38 (3.7)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 (2.1)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 (1.2)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(0.5)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6/529 (1.1)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42/982 (4.3)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Cyprus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283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 (4.2)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 (5.9)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(2.1)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(3.3)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(1.1)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(2.3)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(1.1)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5/274 (1.8)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10/290 (3.4)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2,491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1,897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63 (2.5)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88 (4.6)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35 (1.4)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39 (2.1)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 (0.8)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 (1.4)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 (1.2)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42/2,435 (1.7)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131/1,832 (7.2)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Denmark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1,790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1,698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91 (5.1)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176 (10.4)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34 (1.9)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84 (5.0)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 (2.6)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63 (3.7)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 (1.7)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122/1,709 (7.1)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235/1,551 (15.2)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Estonia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605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212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 (2.0)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 (4.2)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(1.2)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(3.3)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(0.3)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(0.5)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14/596 (2.3)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6/203 (3.0)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2,061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1,409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 (2.3)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70 (5.0)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 (0.8)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 (2.6)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 (0.9)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 (1.1)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(0.5)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 (1.2)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117/2,025 (5.8)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141/1,356 (10.4)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France*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11,757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10,996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636 (5.4)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1,766 (16.1)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323 (2.8)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848 (7.7)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217 (1.9)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331 (3.0)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96 (0.8)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587 (5.3)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183/11,217 (1.6)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1,293/9,817 (13.2)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55,844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23,107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2,039 (3.7)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1,526 (6.6)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1,067 (1.9)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803 (3.5)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743 (1.3)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465 (2.0)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229 (0.4)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258 (1.1)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1,439/54,034 (2.7)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1,667/21,839 (7.6)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Greece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3,223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2,909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76 (2.4)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82 (2.8)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41 (1.3)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 (1.6)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 (0.7)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 (0.9)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 (0.3)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61/3,158 (1.9)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65/2,836 (2.3)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2,131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2,177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 (2.2)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71 (3.3)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 (1.1)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39 (1.8)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 (0.7)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 (1.2)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 (0.4)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(0.3)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43/2,093 (2.1)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60/2,112 (2.8)</w:t>
            </w:r>
          </w:p>
        </w:tc>
      </w:tr>
      <w:tr w:rsidR="00C47B5D" w:rsidTr="004370A7">
        <w:trPr>
          <w:trHeight w:hRule="exact" w:val="18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75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111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(4.0)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(9.9)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(2.7)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(6.3)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(1.3)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(1.8)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3/72 (4.2)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23/102 (22.5)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2,289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2,083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118 (5.2)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255 (12.2)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 (2.1)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144 (6.9)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 (2.0)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59 (2.8)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 (1.1)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52 (2.5)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425/2,196 (19.4)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567/1,880 (30.2)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Italy*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16,678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11,025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497 (3.0)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374 (3.4)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324 (1.9)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233 (2.1)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118 (0.7)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91 (0.8)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55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50 (0.5)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316/16,236 (1.9)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345/10,701 (3.2)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Latvia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723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252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(1.5)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(3.2)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(0.3)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(1.2)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(1.0)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(2.0)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15/714 (2.1)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12/244 (4.9)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Lithuania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614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370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(1.6)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(1.6)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(0.8)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(0.5)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(0.3)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(0.5)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(0.5)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9/607 (1.5)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7/366 (1.9)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Luxembourg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287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169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(1.4)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 (5.9)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(1.4)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(4.1)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(1.2)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1/283 (0.4)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10/161 (6.2)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Malta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299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(4.8)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(1.1)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(2.4)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19/119 (16.0)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80/277 (28.9)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Moldova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123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498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(2.5)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 (8.7)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 (4.7)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 (2.7)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(1.3)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4/119 (3.4)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4/494 (0.8)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3,912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3,851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397 (10.1)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631 (16.4)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182 (4.7)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362 (9.4)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139 (3.6)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149 (3.9)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76 (1.9)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120 (3.1)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822/3,591 (22.9)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1,201/3,340 (36.0)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North Macedonia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126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175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(4.9)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(1.2)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(1.6)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(0.4)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(1.6)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4/121 (3.3)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4/173 (2.3)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2,151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2,957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108 (5.0)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228 (7.7)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 (1.9)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130 (4.4)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43 (2.0)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66 (2.2)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 (1.2)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 (1.1)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246/2,068 (11.9)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570/2,761 (20.6)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2,868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4,025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68 (2.4)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146 (3.6)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48 (1.7)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86 (2.1)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16 (0.6)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 (1.1)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(0.1)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 (0.4)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31/2,804 (1.1)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59/3,893 (1.5)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5,386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2,555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188 (3.5)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189 (7.4)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121 (2.3)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114 (4.5)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 (0.9)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42 (1.6)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 (0.4)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33 (1.3)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76/5,219 (1.5)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131/2,399 (5.5)</w:t>
            </w:r>
          </w:p>
        </w:tc>
      </w:tr>
      <w:tr w:rsidR="00C47B5D" w:rsidTr="004370A7">
        <w:trPr>
          <w:trHeight w:hRule="exact" w:val="259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2,451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2,002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68 (2.8)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56 (2.8)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 (1.9)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 (1.6)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 (0.7)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 (0.6)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29/2,387 (1.2)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40/1,958 (2.0)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Russia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5,258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6,247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305 (5.8)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217 (3.5)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137 (2.6)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90 (1.4)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80 (1.5)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98 (1.6)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88 (1.7)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 (0.5)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296/5,041 (5.9)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409/6,059 (6.8)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1,147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1,041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20 (1.7)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 (1.7)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 (1.1)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 (1.3)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(0.4)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 (0.1)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9/1,130 (0.8)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15/1,024 (1.5)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Slovakia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605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1,003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(1.2)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 (2.3)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(0.8)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 (1.1)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 (0.3)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(0.7)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 (0.5)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9/598 (1.5)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24/985 (2.4)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1,032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685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 (2.1)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23 (3.4)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 (1.2)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 (2.0)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 (0.7)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 (0.3)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 (0.9)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25/1,013 (2.5)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47/668 (7.0)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Spain*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13,730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10,652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695 (5.1)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874 (8.2)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345 (2.5)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451 (4.2)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262 (1.9)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286 (2.7)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88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137 (1.3)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307/13,123 (2.3)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684/9,915 (6.9)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3,252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4,443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141 (4.3)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268 (6.0)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47 (1.5)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144 (3.2)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65 (2.0)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 (1.4)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29 (0.9)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64 (1.4)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522/3,140 (16.6)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708/4,239 (16.7)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Switzerland*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5,180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3,383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258 (5.0)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321 (9.5)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111 (2.1)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155 (4.6)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115 (2.2)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84 (2.5)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 (0.6)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82 (2.4)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114/4,954 (2.3)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430/3,144 (13.7)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1,987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1,855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107 (5.4)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124 (6.7)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75 (3.8)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85 (4.6)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 (1.4)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 (1.0)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(0.2)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 (1.1)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24/1,884 (1.3)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28/1,752 (1.6)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1,785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1,201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95 (5.3)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40 (3.3)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48 (2.7)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15 (1.3)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22 (1.2)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21 (1.8)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25 (1.4)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 (0.3)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59/1,715 (3.4)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46/1,165 (3.9)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18,432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11,889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1,290 (7.0)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1,399 (11.8)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581 (3.2)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776 (6.5)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449 (2.4)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321 (2.7)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260 (1.4)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302 (2.5)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3,854/17,402 (22.1)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3,511/10,792 (32.5)</w:t>
            </w:r>
          </w:p>
        </w:tc>
      </w:tr>
      <w:tr w:rsidR="00C47B5D" w:rsidTr="004370A7">
        <w:trPr>
          <w:trHeight w:hRule="exact" w:val="227"/>
        </w:trPr>
        <w:tc>
          <w:tcPr>
            <w:tcW w:w="746" w:type="pct"/>
          </w:tcPr>
          <w:p w:rsidR="00C47B5D" w:rsidRDefault="00C47B5D" w:rsidP="004370A7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80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180,979</w:t>
            </w:r>
          </w:p>
        </w:tc>
        <w:tc>
          <w:tcPr>
            <w:tcW w:w="265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126,261</w:t>
            </w:r>
          </w:p>
        </w:tc>
        <w:tc>
          <w:tcPr>
            <w:tcW w:w="37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7,916 (4.4)</w:t>
            </w:r>
          </w:p>
        </w:tc>
        <w:tc>
          <w:tcPr>
            <w:tcW w:w="373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9,680 (7.7)</w:t>
            </w:r>
          </w:p>
        </w:tc>
        <w:tc>
          <w:tcPr>
            <w:tcW w:w="32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3,986 (2.2)</w:t>
            </w:r>
          </w:p>
        </w:tc>
        <w:tc>
          <w:tcPr>
            <w:tcW w:w="304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5,155 (4.1)</w:t>
            </w:r>
          </w:p>
        </w:tc>
        <w:tc>
          <w:tcPr>
            <w:tcW w:w="311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2,738 (1.5)</w:t>
            </w:r>
          </w:p>
        </w:tc>
        <w:tc>
          <w:tcPr>
            <w:tcW w:w="309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2,505 (2.0)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1,192 (0.7)</w:t>
            </w:r>
          </w:p>
        </w:tc>
        <w:tc>
          <w:tcPr>
            <w:tcW w:w="30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2,020 (1.6)</w:t>
            </w:r>
          </w:p>
        </w:tc>
        <w:tc>
          <w:tcPr>
            <w:tcW w:w="572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9,508/174,255 (5.5)</w:t>
            </w:r>
          </w:p>
        </w:tc>
        <w:tc>
          <w:tcPr>
            <w:tcW w:w="528" w:type="pct"/>
            <w:shd w:val="clear" w:color="auto" w:fill="auto"/>
          </w:tcPr>
          <w:p w:rsidR="00C47B5D" w:rsidRDefault="00C47B5D" w:rsidP="004370A7">
            <w:pPr>
              <w:jc w:val="right"/>
              <w:rPr>
                <w:rFonts w:cstheme="minorHAnsi"/>
                <w:b/>
                <w:bCs/>
                <w:w w:val="95"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w w:val="95"/>
                <w:sz w:val="18"/>
                <w:szCs w:val="18"/>
                <w:lang w:val="en-GB"/>
              </w:rPr>
              <w:t>13,125/118,601 (11.1)</w:t>
            </w:r>
          </w:p>
        </w:tc>
      </w:tr>
    </w:tbl>
    <w:p w:rsidR="008E33C8" w:rsidRDefault="00C47B5D">
      <w:r>
        <w:rPr>
          <w:sz w:val="18"/>
          <w:szCs w:val="18"/>
          <w:vertAlign w:val="superscript"/>
          <w:lang w:val="en-GB"/>
        </w:rPr>
        <w:t xml:space="preserve">1 </w:t>
      </w:r>
      <w:r>
        <w:rPr>
          <w:sz w:val="18"/>
          <w:szCs w:val="18"/>
          <w:lang w:val="en-GB"/>
        </w:rPr>
        <w:t xml:space="preserve">This study includes 46 countries, with four European microstates included in </w:t>
      </w:r>
      <w:r>
        <w:rPr>
          <w:color w:val="000000" w:themeColor="text1"/>
          <w:sz w:val="18"/>
          <w:szCs w:val="18"/>
          <w:lang w:val="en-GB"/>
        </w:rPr>
        <w:t xml:space="preserve">neighbouring (Andorra, Liechtenstein) or surrounding (Monaco, San Marino) countries, and with Albania, Montenegro and Kosovo merged to form a region; this results in 40 country-like entities included </w:t>
      </w:r>
      <w:r>
        <w:rPr>
          <w:sz w:val="18"/>
          <w:szCs w:val="18"/>
          <w:lang w:val="en-GB"/>
        </w:rPr>
        <w:t xml:space="preserve">in this </w:t>
      </w:r>
      <w:r>
        <w:rPr>
          <w:color w:val="000000" w:themeColor="text1"/>
          <w:sz w:val="18"/>
          <w:szCs w:val="18"/>
          <w:lang w:val="en-GB"/>
        </w:rPr>
        <w:t xml:space="preserve">table. </w:t>
      </w:r>
      <w:r>
        <w:rPr>
          <w:color w:val="000000" w:themeColor="text1"/>
          <w:sz w:val="18"/>
          <w:szCs w:val="18"/>
          <w:vertAlign w:val="superscript"/>
          <w:lang w:val="en-GB"/>
        </w:rPr>
        <w:t xml:space="preserve">2 </w:t>
      </w:r>
      <w:r>
        <w:rPr>
          <w:color w:val="000000" w:themeColor="text1"/>
          <w:sz w:val="18"/>
          <w:szCs w:val="18"/>
          <w:lang w:val="en-GB"/>
        </w:rPr>
        <w:t>Subtracted from numerator and denominator are men reporting gonorrhoea/chlamydia that was unclassifiable or classified as symptomatic. *Including overseas territor</w:t>
      </w:r>
      <w:r>
        <w:rPr>
          <w:sz w:val="18"/>
          <w:szCs w:val="18"/>
          <w:lang w:val="en-GB"/>
        </w:rPr>
        <w:t>ies/</w:t>
      </w:r>
      <w:r>
        <w:rPr>
          <w:color w:val="000000" w:themeColor="text1"/>
          <w:sz w:val="18"/>
          <w:szCs w:val="18"/>
          <w:lang w:val="en-GB"/>
        </w:rPr>
        <w:t xml:space="preserve">dependencies and/or a microstate. </w:t>
      </w:r>
      <w:r>
        <w:rPr>
          <w:rFonts w:ascii="Calibri" w:hAnsi="Calibri" w:cs="Calibri"/>
          <w:b/>
          <w:bCs/>
          <w:color w:val="000000" w:themeColor="text1"/>
          <w:vertAlign w:val="superscript"/>
          <w:lang w:val="en-GB"/>
        </w:rPr>
        <w:t>‡</w:t>
      </w:r>
      <w:r>
        <w:rPr>
          <w:color w:val="000000" w:themeColor="text1"/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designation of Kosovo is without prejudice to positions on status and is in line with UNSCR 1244/1999 and the International Court of Justice Opinion on the Kosovo declaration of independence.</w:t>
      </w:r>
      <w:bookmarkStart w:id="0" w:name="_GoBack"/>
      <w:bookmarkEnd w:id="0"/>
    </w:p>
    <w:sectPr w:rsidR="008E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D"/>
    <w:rsid w:val="004D6350"/>
    <w:rsid w:val="009333D9"/>
    <w:rsid w:val="00C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5D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7B5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5D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7B5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Vemula</dc:creator>
  <cp:lastModifiedBy>Rekha Vemula</cp:lastModifiedBy>
  <cp:revision>1</cp:revision>
  <dcterms:created xsi:type="dcterms:W3CDTF">2021-03-06T06:04:00Z</dcterms:created>
  <dcterms:modified xsi:type="dcterms:W3CDTF">2021-03-06T06:05:00Z</dcterms:modified>
</cp:coreProperties>
</file>