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2EC" w:rsidRPr="003D42EC" w:rsidRDefault="001639EB" w:rsidP="001639EB">
      <w:pPr>
        <w:spacing w:line="360" w:lineRule="auto"/>
        <w:ind w:right="1530"/>
        <w:jc w:val="both"/>
        <w:rPr>
          <w:rFonts w:ascii="Arial" w:hAnsi="Arial" w:cs="Arial"/>
          <w:color w:val="000000" w:themeColor="text1"/>
          <w:shd w:val="clear" w:color="auto" w:fill="FFFFFF"/>
        </w:rPr>
      </w:pPr>
      <w:r w:rsidRPr="00AD693C">
        <w:rPr>
          <w:rFonts w:ascii="Arial" w:hAnsi="Arial" w:cs="Arial"/>
          <w:b/>
          <w:color w:val="000000" w:themeColor="text1"/>
          <w:shd w:val="clear" w:color="auto" w:fill="FFFFFF"/>
        </w:rPr>
        <w:t>S</w:t>
      </w:r>
      <w:r w:rsidR="003D42EC">
        <w:rPr>
          <w:rFonts w:ascii="Arial" w:hAnsi="Arial" w:cs="Arial"/>
          <w:b/>
          <w:color w:val="000000" w:themeColor="text1"/>
          <w:shd w:val="clear" w:color="auto" w:fill="FFFFFF"/>
        </w:rPr>
        <w:t>1</w:t>
      </w:r>
      <w:r w:rsidRPr="00AD693C">
        <w:rPr>
          <w:rFonts w:ascii="Arial" w:hAnsi="Arial" w:cs="Arial"/>
          <w:b/>
          <w:color w:val="000000" w:themeColor="text1"/>
          <w:shd w:val="clear" w:color="auto" w:fill="FFFFFF"/>
        </w:rPr>
        <w:t xml:space="preserve"> Table. Demographic and clinical characteristics of the study population after propensity-score weighting.</w:t>
      </w:r>
      <w:r w:rsidRPr="00AD693C">
        <w:rPr>
          <w:rFonts w:ascii="Arial" w:hAnsi="Arial" w:cs="Arial"/>
          <w:color w:val="000000" w:themeColor="text1"/>
          <w:shd w:val="clear" w:color="auto" w:fill="FFFFFF"/>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077"/>
        <w:gridCol w:w="2070"/>
        <w:gridCol w:w="1980"/>
      </w:tblGrid>
      <w:tr w:rsidR="001639EB" w:rsidRPr="00AD693C" w:rsidTr="00AF325F">
        <w:tc>
          <w:tcPr>
            <w:tcW w:w="2338" w:type="dxa"/>
            <w:tcBorders>
              <w:top w:val="single" w:sz="4" w:space="0" w:color="auto"/>
              <w:bottom w:val="single" w:sz="4" w:space="0" w:color="auto"/>
            </w:tcBorders>
          </w:tcPr>
          <w:p w:rsidR="001639EB" w:rsidRPr="00AD693C" w:rsidRDefault="001639EB" w:rsidP="00332650">
            <w:pPr>
              <w:spacing w:line="360" w:lineRule="auto"/>
              <w:jc w:val="both"/>
              <w:rPr>
                <w:rFonts w:ascii="Arial" w:hAnsi="Arial" w:cs="Arial"/>
                <w:color w:val="000000" w:themeColor="text1"/>
                <w:shd w:val="clear" w:color="auto" w:fill="FFFFFF"/>
              </w:rPr>
            </w:pPr>
          </w:p>
        </w:tc>
        <w:tc>
          <w:tcPr>
            <w:tcW w:w="2077" w:type="dxa"/>
            <w:tcBorders>
              <w:top w:val="single" w:sz="4" w:space="0" w:color="auto"/>
              <w:bottom w:val="single" w:sz="4" w:space="0" w:color="auto"/>
            </w:tcBorders>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Control</w:t>
            </w:r>
          </w:p>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(N = 66)</w:t>
            </w:r>
          </w:p>
        </w:tc>
        <w:tc>
          <w:tcPr>
            <w:tcW w:w="2070" w:type="dxa"/>
            <w:tcBorders>
              <w:top w:val="single" w:sz="4" w:space="0" w:color="auto"/>
              <w:bottom w:val="single" w:sz="4" w:space="0" w:color="auto"/>
            </w:tcBorders>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Colchicine</w:t>
            </w:r>
          </w:p>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(N= 66)</w:t>
            </w:r>
          </w:p>
        </w:tc>
        <w:tc>
          <w:tcPr>
            <w:tcW w:w="1980" w:type="dxa"/>
            <w:tcBorders>
              <w:top w:val="single" w:sz="4" w:space="0" w:color="auto"/>
              <w:bottom w:val="single" w:sz="4" w:space="0" w:color="auto"/>
            </w:tcBorders>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P value#</w:t>
            </w:r>
          </w:p>
        </w:tc>
      </w:tr>
      <w:tr w:rsidR="001639EB" w:rsidRPr="00AD693C" w:rsidTr="00AF325F">
        <w:tc>
          <w:tcPr>
            <w:tcW w:w="2338" w:type="dxa"/>
          </w:tcPr>
          <w:p w:rsidR="001639EB" w:rsidRPr="00AD693C" w:rsidRDefault="001639EB" w:rsidP="00332650">
            <w:pPr>
              <w:spacing w:line="360" w:lineRule="auto"/>
              <w:jc w:val="both"/>
              <w:rPr>
                <w:rFonts w:ascii="Arial" w:hAnsi="Arial" w:cs="Arial"/>
                <w:i/>
                <w:color w:val="000000" w:themeColor="text1"/>
                <w:shd w:val="clear" w:color="auto" w:fill="FFFFFF"/>
              </w:rPr>
            </w:pPr>
            <w:r w:rsidRPr="00AD693C">
              <w:rPr>
                <w:rFonts w:ascii="Arial" w:eastAsia="Times New Roman" w:hAnsi="Arial" w:cs="Arial"/>
                <w:i/>
              </w:rPr>
              <w:t>Comorbidities</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 xml:space="preserve">   Diabetes</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8 (12.9)</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7 (10.9)</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0.66</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 xml:space="preserve">   Cancer</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4 (6.6)</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 (5.3)</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0.72</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 xml:space="preserve">   Hypertension</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33 (50.5)</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31 (47.5)</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0.68</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 xml:space="preserve">   CKD</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11 (16.3)</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12 (18.7)</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0.78</w:t>
            </w:r>
          </w:p>
        </w:tc>
      </w:tr>
      <w:tr w:rsidR="001639EB" w:rsidRPr="00AD693C" w:rsidTr="00AF325F">
        <w:tc>
          <w:tcPr>
            <w:tcW w:w="8465" w:type="dxa"/>
            <w:gridSpan w:val="4"/>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eastAsia="Times New Roman" w:hAnsi="Arial" w:cs="Arial"/>
                <w:i/>
              </w:rPr>
              <w:t>Disease severity at diagnosis</w:t>
            </w:r>
          </w:p>
        </w:tc>
      </w:tr>
      <w:tr w:rsidR="001639EB" w:rsidRPr="00AD693C" w:rsidTr="00AF325F">
        <w:tc>
          <w:tcPr>
            <w:tcW w:w="2338" w:type="dxa"/>
          </w:tcPr>
          <w:p w:rsidR="001639EB" w:rsidRPr="00AD693C" w:rsidRDefault="001639EB" w:rsidP="00332650">
            <w:pPr>
              <w:spacing w:line="360" w:lineRule="auto"/>
              <w:jc w:val="both"/>
              <w:rPr>
                <w:rFonts w:ascii="Arial" w:eastAsia="Times New Roman" w:hAnsi="Arial" w:cs="Arial"/>
              </w:rPr>
            </w:pPr>
            <w:r w:rsidRPr="00AD693C">
              <w:rPr>
                <w:rFonts w:ascii="Arial" w:eastAsia="Times New Roman" w:hAnsi="Arial" w:cs="Arial"/>
              </w:rPr>
              <w:t xml:space="preserve">  Non-hospitalized</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15 (23.4)</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15 (22.6)</w:t>
            </w:r>
          </w:p>
        </w:tc>
        <w:tc>
          <w:tcPr>
            <w:tcW w:w="1980" w:type="dxa"/>
            <w:vMerge w:val="restart"/>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0.78</w:t>
            </w:r>
          </w:p>
        </w:tc>
      </w:tr>
      <w:tr w:rsidR="001639EB" w:rsidRPr="00AD693C" w:rsidTr="00AF325F">
        <w:tc>
          <w:tcPr>
            <w:tcW w:w="2338" w:type="dxa"/>
          </w:tcPr>
          <w:p w:rsidR="001639EB" w:rsidRPr="00AD693C" w:rsidRDefault="001639EB" w:rsidP="00332650">
            <w:pPr>
              <w:spacing w:line="360" w:lineRule="auto"/>
              <w:jc w:val="both"/>
              <w:rPr>
                <w:rFonts w:ascii="Arial" w:eastAsia="Times New Roman" w:hAnsi="Arial" w:cs="Arial"/>
              </w:rPr>
            </w:pPr>
            <w:r w:rsidRPr="00AD693C">
              <w:rPr>
                <w:rFonts w:ascii="Arial" w:eastAsia="Times New Roman" w:hAnsi="Arial" w:cs="Arial"/>
              </w:rPr>
              <w:t xml:space="preserve">  Hosp. w/o O</w:t>
            </w:r>
            <w:r w:rsidRPr="00AD693C">
              <w:rPr>
                <w:rFonts w:ascii="Arial" w:eastAsia="Times New Roman" w:hAnsi="Arial" w:cs="Arial"/>
                <w:vertAlign w:val="subscript"/>
              </w:rPr>
              <w:t>2</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14 (21.7)</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10 (15.4)</w:t>
            </w:r>
          </w:p>
        </w:tc>
        <w:tc>
          <w:tcPr>
            <w:tcW w:w="1980" w:type="dxa"/>
            <w:vMerge/>
          </w:tcPr>
          <w:p w:rsidR="001639EB" w:rsidRPr="00AD693C" w:rsidRDefault="001639EB" w:rsidP="00332650">
            <w:pPr>
              <w:spacing w:line="360" w:lineRule="auto"/>
              <w:jc w:val="center"/>
              <w:rPr>
                <w:rFonts w:ascii="Arial" w:hAnsi="Arial" w:cs="Arial"/>
                <w:color w:val="000000" w:themeColor="text1"/>
                <w:shd w:val="clear" w:color="auto" w:fill="FFFFFF"/>
              </w:rPr>
            </w:pPr>
          </w:p>
        </w:tc>
      </w:tr>
      <w:tr w:rsidR="001639EB" w:rsidRPr="00AD693C" w:rsidTr="00AF325F">
        <w:tc>
          <w:tcPr>
            <w:tcW w:w="2338" w:type="dxa"/>
          </w:tcPr>
          <w:p w:rsidR="001639EB" w:rsidRPr="00AD693C" w:rsidRDefault="001639EB" w:rsidP="00332650">
            <w:pPr>
              <w:spacing w:line="360" w:lineRule="auto"/>
              <w:jc w:val="both"/>
              <w:rPr>
                <w:rFonts w:ascii="Arial" w:eastAsia="Times New Roman" w:hAnsi="Arial" w:cs="Arial"/>
              </w:rPr>
            </w:pPr>
            <w:r w:rsidRPr="00AD693C">
              <w:rPr>
                <w:rFonts w:ascii="Arial" w:eastAsia="Times New Roman" w:hAnsi="Arial" w:cs="Arial"/>
              </w:rPr>
              <w:t xml:space="preserve">  Hosp. with O</w:t>
            </w:r>
            <w:r w:rsidRPr="00AD693C">
              <w:rPr>
                <w:rFonts w:ascii="Arial" w:eastAsia="Times New Roman" w:hAnsi="Arial" w:cs="Arial"/>
                <w:vertAlign w:val="subscript"/>
              </w:rPr>
              <w:t>2</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23 (34.4)</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25 (38.0)</w:t>
            </w:r>
          </w:p>
        </w:tc>
        <w:tc>
          <w:tcPr>
            <w:tcW w:w="1980" w:type="dxa"/>
            <w:vMerge/>
          </w:tcPr>
          <w:p w:rsidR="001639EB" w:rsidRPr="00AD693C" w:rsidRDefault="001639EB" w:rsidP="00332650">
            <w:pPr>
              <w:spacing w:line="360" w:lineRule="auto"/>
              <w:jc w:val="center"/>
              <w:rPr>
                <w:rFonts w:ascii="Arial" w:hAnsi="Arial" w:cs="Arial"/>
                <w:color w:val="000000" w:themeColor="text1"/>
                <w:shd w:val="clear" w:color="auto" w:fill="FFFFFF"/>
              </w:rPr>
            </w:pPr>
          </w:p>
        </w:tc>
      </w:tr>
      <w:tr w:rsidR="001639EB" w:rsidRPr="00AD693C" w:rsidTr="00AF325F">
        <w:tc>
          <w:tcPr>
            <w:tcW w:w="2338" w:type="dxa"/>
          </w:tcPr>
          <w:p w:rsidR="001639EB" w:rsidRPr="00AD693C" w:rsidRDefault="001639EB" w:rsidP="00332650">
            <w:pPr>
              <w:spacing w:line="360" w:lineRule="auto"/>
              <w:jc w:val="both"/>
              <w:rPr>
                <w:rFonts w:ascii="Arial" w:eastAsia="Times New Roman" w:hAnsi="Arial" w:cs="Arial"/>
              </w:rPr>
            </w:pPr>
            <w:r w:rsidRPr="00AD693C">
              <w:rPr>
                <w:rFonts w:ascii="Arial" w:eastAsia="Times New Roman" w:hAnsi="Arial" w:cs="Arial"/>
              </w:rPr>
              <w:t xml:space="preserve">  Hosp. with NIV </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9 (13.0)</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12 (18.8)</w:t>
            </w:r>
          </w:p>
        </w:tc>
        <w:tc>
          <w:tcPr>
            <w:tcW w:w="1980" w:type="dxa"/>
            <w:vMerge/>
          </w:tcPr>
          <w:p w:rsidR="001639EB" w:rsidRPr="00AD693C" w:rsidRDefault="001639EB" w:rsidP="00332650">
            <w:pPr>
              <w:spacing w:line="360" w:lineRule="auto"/>
              <w:jc w:val="center"/>
              <w:rPr>
                <w:rFonts w:ascii="Arial" w:hAnsi="Arial" w:cs="Arial"/>
                <w:color w:val="000000" w:themeColor="text1"/>
                <w:shd w:val="clear" w:color="auto" w:fill="FFFFFF"/>
              </w:rPr>
            </w:pPr>
          </w:p>
        </w:tc>
      </w:tr>
      <w:tr w:rsidR="001639EB" w:rsidRPr="00AD693C" w:rsidTr="00AF325F">
        <w:tc>
          <w:tcPr>
            <w:tcW w:w="8465" w:type="dxa"/>
            <w:gridSpan w:val="4"/>
          </w:tcPr>
          <w:p w:rsidR="001639EB" w:rsidRPr="00AD693C" w:rsidRDefault="001639EB" w:rsidP="00332650">
            <w:pPr>
              <w:spacing w:line="360" w:lineRule="auto"/>
              <w:jc w:val="center"/>
              <w:rPr>
                <w:rFonts w:ascii="Arial" w:hAnsi="Arial" w:cs="Arial"/>
                <w:i/>
                <w:color w:val="000000" w:themeColor="text1"/>
                <w:shd w:val="clear" w:color="auto" w:fill="FFFFFF"/>
              </w:rPr>
            </w:pPr>
            <w:r w:rsidRPr="00AD693C">
              <w:rPr>
                <w:rFonts w:ascii="Arial" w:hAnsi="Arial" w:cs="Arial"/>
                <w:i/>
                <w:color w:val="000000" w:themeColor="text1"/>
                <w:shd w:val="clear" w:color="auto" w:fill="FFFFFF"/>
              </w:rPr>
              <w:t>Clinical characteristics at diagnosis</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Fever</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60 (91.4)</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61 (92.9)</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0.67</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Dyspnea</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27 (40.8)</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32 (49.2)</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0.46</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Cough</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42 (63.5)</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39 (59.0)</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0.52</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Arthro-myalgias</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10 (14.8)</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9 (13.1)</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0.79</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Diarrhea</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 (4.8)</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5 (7.3)</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0.48</w:t>
            </w:r>
          </w:p>
        </w:tc>
      </w:tr>
      <w:tr w:rsidR="001639EB" w:rsidRPr="00AD693C" w:rsidTr="00AF325F">
        <w:tc>
          <w:tcPr>
            <w:tcW w:w="8465" w:type="dxa"/>
            <w:gridSpan w:val="4"/>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eastAsia="Times New Roman" w:hAnsi="Arial" w:cs="Arial"/>
              </w:rPr>
              <w:t>Lab values at hospital admission (Inpatients)</w:t>
            </w:r>
          </w:p>
        </w:tc>
      </w:tr>
      <w:tr w:rsidR="001639EB" w:rsidRPr="00AD693C" w:rsidTr="00AF325F">
        <w:tc>
          <w:tcPr>
            <w:tcW w:w="8465" w:type="dxa"/>
            <w:gridSpan w:val="4"/>
          </w:tcPr>
          <w:p w:rsidR="001639EB" w:rsidRPr="00AD693C" w:rsidRDefault="001639EB" w:rsidP="00BE57C7">
            <w:pPr>
              <w:spacing w:line="360" w:lineRule="auto"/>
              <w:rPr>
                <w:rFonts w:ascii="Arial" w:hAnsi="Arial" w:cs="Arial"/>
                <w:color w:val="000000" w:themeColor="text1"/>
                <w:shd w:val="clear" w:color="auto" w:fill="FFFFFF"/>
              </w:rPr>
            </w:pPr>
            <w:r w:rsidRPr="00AD693C">
              <w:rPr>
                <w:rFonts w:ascii="Arial" w:eastAsia="Times New Roman" w:hAnsi="Arial" w:cs="Arial"/>
              </w:rPr>
              <w:t>COVID-19 Treatment</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Use of antibiotics</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42 (63.0)</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47 (71.4)</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0.47</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Antiviral treatment</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36 (55.1)</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36 (54.2)</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0.82</w:t>
            </w:r>
          </w:p>
        </w:tc>
      </w:tr>
      <w:tr w:rsidR="001639EB" w:rsidRPr="00AD693C" w:rsidTr="00AF325F">
        <w:tc>
          <w:tcPr>
            <w:tcW w:w="2338" w:type="dxa"/>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Hydroxychloroquine</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41 (62.7)</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42 (63.7)</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0.95</w:t>
            </w:r>
          </w:p>
        </w:tc>
      </w:tr>
      <w:tr w:rsidR="001639EB" w:rsidRPr="00AD693C" w:rsidTr="00AF325F">
        <w:tc>
          <w:tcPr>
            <w:tcW w:w="2338" w:type="dxa"/>
          </w:tcPr>
          <w:p w:rsidR="001639EB" w:rsidRPr="00AD693C" w:rsidRDefault="001639EB" w:rsidP="00332650">
            <w:pPr>
              <w:spacing w:line="360" w:lineRule="auto"/>
              <w:jc w:val="both"/>
              <w:rPr>
                <w:rFonts w:ascii="Arial" w:eastAsia="Times New Roman" w:hAnsi="Arial" w:cs="Arial"/>
              </w:rPr>
            </w:pPr>
            <w:proofErr w:type="spellStart"/>
            <w:r w:rsidRPr="00AD693C">
              <w:rPr>
                <w:rFonts w:ascii="Arial" w:eastAsia="Times New Roman" w:hAnsi="Arial" w:cs="Arial"/>
              </w:rPr>
              <w:t>i.v.</w:t>
            </w:r>
            <w:proofErr w:type="spellEnd"/>
            <w:r w:rsidRPr="00AD693C">
              <w:rPr>
                <w:rFonts w:ascii="Arial" w:eastAsia="Times New Roman" w:hAnsi="Arial" w:cs="Arial"/>
              </w:rPr>
              <w:t xml:space="preserve"> steroids</w:t>
            </w:r>
          </w:p>
        </w:tc>
        <w:tc>
          <w:tcPr>
            <w:tcW w:w="2077"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10 (14.5)</w:t>
            </w:r>
          </w:p>
        </w:tc>
        <w:tc>
          <w:tcPr>
            <w:tcW w:w="207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15 (22.1)</w:t>
            </w:r>
          </w:p>
        </w:tc>
        <w:tc>
          <w:tcPr>
            <w:tcW w:w="1980" w:type="dxa"/>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0.39</w:t>
            </w:r>
          </w:p>
        </w:tc>
      </w:tr>
      <w:tr w:rsidR="001639EB" w:rsidRPr="00AD693C" w:rsidTr="00AF325F">
        <w:tc>
          <w:tcPr>
            <w:tcW w:w="2338" w:type="dxa"/>
            <w:tcBorders>
              <w:bottom w:val="single" w:sz="4" w:space="0" w:color="auto"/>
            </w:tcBorders>
          </w:tcPr>
          <w:p w:rsidR="001639EB" w:rsidRPr="00AD693C" w:rsidRDefault="001639EB" w:rsidP="00332650">
            <w:pPr>
              <w:spacing w:line="360" w:lineRule="auto"/>
              <w:jc w:val="both"/>
              <w:rPr>
                <w:rFonts w:ascii="Arial" w:hAnsi="Arial" w:cs="Arial"/>
                <w:color w:val="000000" w:themeColor="text1"/>
                <w:shd w:val="clear" w:color="auto" w:fill="FFFFFF"/>
              </w:rPr>
            </w:pPr>
            <w:r w:rsidRPr="00AD693C">
              <w:rPr>
                <w:rFonts w:ascii="Arial" w:eastAsia="Times New Roman" w:hAnsi="Arial" w:cs="Arial"/>
              </w:rPr>
              <w:t>Tocilizumab</w:t>
            </w:r>
          </w:p>
        </w:tc>
        <w:tc>
          <w:tcPr>
            <w:tcW w:w="2077" w:type="dxa"/>
            <w:tcBorders>
              <w:bottom w:val="single" w:sz="4" w:space="0" w:color="auto"/>
            </w:tcBorders>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3 (4.9)</w:t>
            </w:r>
          </w:p>
        </w:tc>
        <w:tc>
          <w:tcPr>
            <w:tcW w:w="2070" w:type="dxa"/>
            <w:tcBorders>
              <w:bottom w:val="single" w:sz="4" w:space="0" w:color="auto"/>
            </w:tcBorders>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6 (8.6)</w:t>
            </w:r>
          </w:p>
        </w:tc>
        <w:tc>
          <w:tcPr>
            <w:tcW w:w="1980" w:type="dxa"/>
            <w:tcBorders>
              <w:bottom w:val="single" w:sz="4" w:space="0" w:color="auto"/>
            </w:tcBorders>
          </w:tcPr>
          <w:p w:rsidR="001639EB" w:rsidRPr="00AD693C" w:rsidRDefault="001639EB" w:rsidP="00332650">
            <w:pPr>
              <w:spacing w:line="360" w:lineRule="auto"/>
              <w:jc w:val="center"/>
              <w:rPr>
                <w:rFonts w:ascii="Arial" w:hAnsi="Arial" w:cs="Arial"/>
                <w:color w:val="000000" w:themeColor="text1"/>
                <w:shd w:val="clear" w:color="auto" w:fill="FFFFFF"/>
              </w:rPr>
            </w:pPr>
            <w:r w:rsidRPr="00AD693C">
              <w:rPr>
                <w:rFonts w:ascii="Arial" w:hAnsi="Arial" w:cs="Arial"/>
                <w:color w:val="000000" w:themeColor="text1"/>
                <w:shd w:val="clear" w:color="auto" w:fill="FFFFFF"/>
              </w:rPr>
              <w:t>0.40</w:t>
            </w:r>
          </w:p>
        </w:tc>
      </w:tr>
    </w:tbl>
    <w:p w:rsidR="00867016" w:rsidRDefault="00867016" w:rsidP="00AD693C">
      <w:pPr>
        <w:ind w:right="900"/>
        <w:jc w:val="both"/>
        <w:rPr>
          <w:rFonts w:ascii="Arial" w:hAnsi="Arial" w:cs="Arial"/>
          <w:color w:val="000000" w:themeColor="text1"/>
          <w:shd w:val="clear" w:color="auto" w:fill="FFFFFF"/>
        </w:rPr>
      </w:pPr>
      <w:r>
        <w:rPr>
          <w:rFonts w:ascii="Arial" w:hAnsi="Arial" w:cs="Arial"/>
          <w:color w:val="000000" w:themeColor="text1"/>
          <w:shd w:val="clear" w:color="auto" w:fill="FFFFFF"/>
        </w:rPr>
        <w:t>D</w:t>
      </w:r>
      <w:r w:rsidR="001639EB" w:rsidRPr="00AD693C">
        <w:rPr>
          <w:rFonts w:ascii="Arial" w:hAnsi="Arial" w:cs="Arial"/>
          <w:color w:val="000000" w:themeColor="text1"/>
          <w:shd w:val="clear" w:color="auto" w:fill="FFFFFF"/>
        </w:rPr>
        <w:t>ata are expressed as number (%)</w:t>
      </w:r>
    </w:p>
    <w:p w:rsidR="001639EB" w:rsidRPr="00AD693C" w:rsidRDefault="001639EB" w:rsidP="00AD693C">
      <w:pPr>
        <w:ind w:right="900"/>
        <w:jc w:val="both"/>
        <w:rPr>
          <w:rFonts w:ascii="Arial" w:hAnsi="Arial" w:cs="Arial"/>
          <w:color w:val="000000" w:themeColor="text1"/>
        </w:rPr>
      </w:pPr>
      <w:r w:rsidRPr="00AD693C">
        <w:rPr>
          <w:rFonts w:ascii="Arial" w:hAnsi="Arial" w:cs="Arial"/>
          <w:color w:val="000000" w:themeColor="text1"/>
        </w:rPr>
        <w:t xml:space="preserve">Counts in the weighted cohort may not sum to expected totals owing to rounding. Percentages may not total 100 because of rounding, and disagreements between numbers and percentages in the weighted cohort are the result of rounding of non-integer number values. </w:t>
      </w:r>
    </w:p>
    <w:p w:rsidR="001639EB" w:rsidRPr="00AD693C" w:rsidRDefault="001639EB" w:rsidP="00AD693C">
      <w:pPr>
        <w:ind w:right="900"/>
        <w:jc w:val="both"/>
        <w:rPr>
          <w:rFonts w:ascii="Arial" w:hAnsi="Arial" w:cs="Arial"/>
          <w:color w:val="000000" w:themeColor="text1"/>
        </w:rPr>
      </w:pPr>
      <w:r w:rsidRPr="00AD693C">
        <w:rPr>
          <w:rFonts w:ascii="Arial" w:hAnsi="Arial" w:cs="Arial"/>
          <w:color w:val="000000" w:themeColor="text1"/>
        </w:rPr>
        <w:lastRenderedPageBreak/>
        <w:t># The P values were calculated by inverse probability of treatment–weighted logistic-regression models.</w:t>
      </w:r>
    </w:p>
    <w:p w:rsidR="001639EB" w:rsidRPr="00AD693C" w:rsidRDefault="001639EB" w:rsidP="00AD693C">
      <w:pPr>
        <w:ind w:right="900"/>
        <w:jc w:val="both"/>
        <w:rPr>
          <w:rFonts w:ascii="Arial" w:hAnsi="Arial" w:cs="Arial"/>
          <w:color w:val="000000" w:themeColor="text1"/>
        </w:rPr>
      </w:pPr>
      <w:r w:rsidRPr="00AD693C">
        <w:rPr>
          <w:rFonts w:ascii="Arial" w:hAnsi="Arial" w:cs="Arial"/>
          <w:color w:val="000000" w:themeColor="text1"/>
          <w:shd w:val="clear" w:color="auto" w:fill="FFFFFF"/>
        </w:rPr>
        <w:t>CKD, chronic kidney disease; NIV, non-invasive mechanical ventilation; Hosp., hospitalized; O</w:t>
      </w:r>
      <w:r w:rsidRPr="00AD693C">
        <w:rPr>
          <w:rFonts w:ascii="Arial" w:hAnsi="Arial" w:cs="Arial"/>
          <w:color w:val="000000" w:themeColor="text1"/>
          <w:shd w:val="clear" w:color="auto" w:fill="FFFFFF"/>
          <w:vertAlign w:val="subscript"/>
        </w:rPr>
        <w:t>2</w:t>
      </w:r>
      <w:r w:rsidR="00867016">
        <w:rPr>
          <w:rFonts w:ascii="Arial" w:hAnsi="Arial" w:cs="Arial"/>
          <w:color w:val="000000" w:themeColor="text1"/>
          <w:shd w:val="clear" w:color="auto" w:fill="FFFFFF"/>
        </w:rPr>
        <w:t>, supplemental oxygen</w:t>
      </w:r>
      <w:r w:rsidR="00955A00">
        <w:rPr>
          <w:rFonts w:ascii="Arial" w:hAnsi="Arial" w:cs="Arial"/>
          <w:color w:val="000000" w:themeColor="text1"/>
          <w:shd w:val="clear" w:color="auto" w:fill="FFFFFF"/>
        </w:rPr>
        <w:t xml:space="preserve">; </w:t>
      </w:r>
      <w:proofErr w:type="spellStart"/>
      <w:r w:rsidR="00955A00">
        <w:rPr>
          <w:rFonts w:ascii="Arial" w:hAnsi="Arial" w:cs="Arial"/>
          <w:color w:val="000000" w:themeColor="text1"/>
          <w:shd w:val="clear" w:color="auto" w:fill="FFFFFF"/>
        </w:rPr>
        <w:t>i.v.</w:t>
      </w:r>
      <w:proofErr w:type="spellEnd"/>
      <w:r w:rsidR="00955A00">
        <w:rPr>
          <w:rFonts w:ascii="Arial" w:hAnsi="Arial" w:cs="Arial"/>
          <w:color w:val="000000" w:themeColor="text1"/>
          <w:shd w:val="clear" w:color="auto" w:fill="FFFFFF"/>
        </w:rPr>
        <w:t>, intravenous</w:t>
      </w:r>
    </w:p>
    <w:p w:rsidR="000A5D71" w:rsidRDefault="000A5D71"/>
    <w:sectPr w:rsidR="000A5D71" w:rsidSect="00B2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D392E"/>
    <w:multiLevelType w:val="hybridMultilevel"/>
    <w:tmpl w:val="AB463FD4"/>
    <w:lvl w:ilvl="0" w:tplc="0882BE82">
      <w:start w:val="1"/>
      <w:numFmt w:val="bullet"/>
      <w:lvlText w:val=""/>
      <w:lvlJc w:val="left"/>
      <w:pPr>
        <w:ind w:left="720" w:hanging="360"/>
      </w:pPr>
      <w:rPr>
        <w:rFonts w:ascii="Symbol" w:hAnsi="Symbol" w:hint="default"/>
      </w:rPr>
    </w:lvl>
    <w:lvl w:ilvl="1" w:tplc="35F8EE14">
      <w:start w:val="1"/>
      <w:numFmt w:val="bullet"/>
      <w:lvlText w:val="o"/>
      <w:lvlJc w:val="left"/>
      <w:pPr>
        <w:ind w:left="1440" w:hanging="360"/>
      </w:pPr>
      <w:rPr>
        <w:rFonts w:ascii="Courier New" w:hAnsi="Courier New" w:hint="default"/>
      </w:rPr>
    </w:lvl>
    <w:lvl w:ilvl="2" w:tplc="14CAF6D2">
      <w:start w:val="1"/>
      <w:numFmt w:val="bullet"/>
      <w:lvlText w:val=""/>
      <w:lvlJc w:val="left"/>
      <w:pPr>
        <w:ind w:left="2160" w:hanging="360"/>
      </w:pPr>
      <w:rPr>
        <w:rFonts w:ascii="Wingdings" w:hAnsi="Wingdings" w:hint="default"/>
      </w:rPr>
    </w:lvl>
    <w:lvl w:ilvl="3" w:tplc="78C49C8A">
      <w:start w:val="1"/>
      <w:numFmt w:val="bullet"/>
      <w:lvlText w:val=""/>
      <w:lvlJc w:val="left"/>
      <w:pPr>
        <w:ind w:left="2880" w:hanging="360"/>
      </w:pPr>
      <w:rPr>
        <w:rFonts w:ascii="Symbol" w:hAnsi="Symbol" w:hint="default"/>
      </w:rPr>
    </w:lvl>
    <w:lvl w:ilvl="4" w:tplc="EE84FBE0">
      <w:start w:val="1"/>
      <w:numFmt w:val="bullet"/>
      <w:lvlText w:val="o"/>
      <w:lvlJc w:val="left"/>
      <w:pPr>
        <w:ind w:left="3600" w:hanging="360"/>
      </w:pPr>
      <w:rPr>
        <w:rFonts w:ascii="Courier New" w:hAnsi="Courier New" w:hint="default"/>
      </w:rPr>
    </w:lvl>
    <w:lvl w:ilvl="5" w:tplc="860266F8">
      <w:start w:val="1"/>
      <w:numFmt w:val="bullet"/>
      <w:lvlText w:val=""/>
      <w:lvlJc w:val="left"/>
      <w:pPr>
        <w:ind w:left="4320" w:hanging="360"/>
      </w:pPr>
      <w:rPr>
        <w:rFonts w:ascii="Wingdings" w:hAnsi="Wingdings" w:hint="default"/>
      </w:rPr>
    </w:lvl>
    <w:lvl w:ilvl="6" w:tplc="A0C407FA">
      <w:start w:val="1"/>
      <w:numFmt w:val="bullet"/>
      <w:lvlText w:val=""/>
      <w:lvlJc w:val="left"/>
      <w:pPr>
        <w:ind w:left="5040" w:hanging="360"/>
      </w:pPr>
      <w:rPr>
        <w:rFonts w:ascii="Symbol" w:hAnsi="Symbol" w:hint="default"/>
      </w:rPr>
    </w:lvl>
    <w:lvl w:ilvl="7" w:tplc="72409C7A">
      <w:start w:val="1"/>
      <w:numFmt w:val="bullet"/>
      <w:lvlText w:val="o"/>
      <w:lvlJc w:val="left"/>
      <w:pPr>
        <w:ind w:left="5760" w:hanging="360"/>
      </w:pPr>
      <w:rPr>
        <w:rFonts w:ascii="Courier New" w:hAnsi="Courier New" w:hint="default"/>
      </w:rPr>
    </w:lvl>
    <w:lvl w:ilvl="8" w:tplc="851849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C7"/>
    <w:rsid w:val="000A5D71"/>
    <w:rsid w:val="001639EB"/>
    <w:rsid w:val="003163D8"/>
    <w:rsid w:val="003429C7"/>
    <w:rsid w:val="003D42EC"/>
    <w:rsid w:val="00480267"/>
    <w:rsid w:val="00687A36"/>
    <w:rsid w:val="00867016"/>
    <w:rsid w:val="00910914"/>
    <w:rsid w:val="00955A00"/>
    <w:rsid w:val="00AD693C"/>
    <w:rsid w:val="00AF325F"/>
    <w:rsid w:val="00B2395B"/>
    <w:rsid w:val="00BE57C7"/>
    <w:rsid w:val="00E20CFB"/>
    <w:rsid w:val="00ED5F5D"/>
    <w:rsid w:val="00F6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A6B3"/>
  <w15:chartTrackingRefBased/>
  <w15:docId w15:val="{D79A1052-6FB9-7249-A4C5-875532E1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9E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42EC"/>
    <w:pPr>
      <w:spacing w:before="100" w:beforeAutospacing="1" w:after="100" w:afterAutospacing="1"/>
    </w:pPr>
    <w:rPr>
      <w:rFonts w:ascii="Times" w:eastAsiaTheme="minorHAnsi"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2020-07-05T02:08:00Z</dcterms:created>
  <dcterms:modified xsi:type="dcterms:W3CDTF">2021-01-15T07:53:00Z</dcterms:modified>
</cp:coreProperties>
</file>