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3495" w14:textId="2B54C311" w:rsidR="004B54A6" w:rsidRPr="00013F4F" w:rsidRDefault="004B54A6" w:rsidP="00013F4F">
      <w:pPr>
        <w:rPr>
          <w:rFonts w:ascii="Times New Roman" w:hAnsi="Times New Roman" w:cs="Times New Roman"/>
          <w:sz w:val="28"/>
          <w:szCs w:val="28"/>
        </w:rPr>
      </w:pPr>
      <w:r w:rsidRPr="00013F4F">
        <w:rPr>
          <w:rFonts w:ascii="Times New Roman" w:hAnsi="Times New Roman" w:cs="Times New Roman"/>
          <w:sz w:val="28"/>
          <w:szCs w:val="28"/>
        </w:rPr>
        <w:t>S</w:t>
      </w:r>
      <w:r w:rsidR="00A360F6">
        <w:rPr>
          <w:rFonts w:ascii="Times New Roman" w:hAnsi="Times New Roman" w:cs="Times New Roman"/>
          <w:sz w:val="28"/>
          <w:szCs w:val="28"/>
        </w:rPr>
        <w:t>3</w:t>
      </w:r>
      <w:r w:rsidR="00F23F2B" w:rsidRPr="00013F4F">
        <w:rPr>
          <w:rFonts w:ascii="Times New Roman" w:hAnsi="Times New Roman" w:cs="Times New Roman"/>
          <w:sz w:val="28"/>
          <w:szCs w:val="28"/>
        </w:rPr>
        <w:t xml:space="preserve"> Table</w:t>
      </w:r>
      <w:r w:rsidR="002539F2">
        <w:rPr>
          <w:rFonts w:ascii="Times New Roman" w:hAnsi="Times New Roman" w:cs="Times New Roman"/>
          <w:sz w:val="28"/>
          <w:szCs w:val="28"/>
        </w:rPr>
        <w:t>.</w:t>
      </w:r>
      <w:r w:rsidRPr="00013F4F">
        <w:rPr>
          <w:rFonts w:ascii="Times New Roman" w:hAnsi="Times New Roman" w:cs="Times New Roman"/>
          <w:sz w:val="28"/>
          <w:szCs w:val="28"/>
        </w:rPr>
        <w:t xml:space="preserve"> Influence of educational attainment on occupational trajectories in ADHD</w:t>
      </w:r>
    </w:p>
    <w:p w14:paraId="1747EE74" w14:textId="77777777" w:rsidR="004B54A6" w:rsidRDefault="004B54A6" w:rsidP="004B54A6">
      <w:pPr>
        <w:pStyle w:val="FirstParagraph"/>
        <w:rPr>
          <w:rFonts w:ascii="Times New Roman" w:hAnsi="Times New Roman" w:cs="Times New Roman"/>
        </w:rPr>
      </w:pPr>
      <w:r w:rsidRPr="00EC6D66">
        <w:rPr>
          <w:rFonts w:ascii="Times New Roman" w:hAnsi="Times New Roman" w:cs="Times New Roman"/>
        </w:rPr>
        <w:t>T</w:t>
      </w:r>
      <w:r w:rsidR="00455D6A">
        <w:rPr>
          <w:rFonts w:ascii="Times New Roman" w:hAnsi="Times New Roman" w:cs="Times New Roman"/>
        </w:rPr>
        <w:t>his table</w:t>
      </w:r>
      <w:r w:rsidRPr="00EC6D66">
        <w:rPr>
          <w:rFonts w:ascii="Times New Roman" w:hAnsi="Times New Roman" w:cs="Times New Roman"/>
        </w:rPr>
        <w:t xml:space="preserve"> shows the results from the models using EA as a time-varying exposure</w:t>
      </w:r>
      <w:r>
        <w:rPr>
          <w:rFonts w:ascii="Times New Roman" w:hAnsi="Times New Roman" w:cs="Times New Roman"/>
        </w:rPr>
        <w:t>, both crude and adjusted associations</w:t>
      </w:r>
      <w:r w:rsidRPr="00EC6D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the accompanying manuscript, these </w:t>
      </w:r>
      <w:r w:rsidR="006023FF">
        <w:rPr>
          <w:rFonts w:ascii="Times New Roman" w:hAnsi="Times New Roman" w:cs="Times New Roman"/>
        </w:rPr>
        <w:t>models</w:t>
      </w:r>
      <w:r>
        <w:rPr>
          <w:rFonts w:ascii="Times New Roman" w:hAnsi="Times New Roman" w:cs="Times New Roman"/>
        </w:rPr>
        <w:t xml:space="preserve"> were used to produce Figure 1 and 2. In the table, “Level” represents difference between a period before and after an educational attainment, and “Trend” a yearly time trend for an educational attainment. </w:t>
      </w:r>
      <w:r w:rsidRPr="00DC5E77">
        <w:rPr>
          <w:rFonts w:ascii="Times New Roman" w:hAnsi="Times New Roman" w:cs="Times New Roman"/>
        </w:rPr>
        <w:t>For</w:t>
      </w:r>
      <w:r w:rsidRPr="00EC6D66">
        <w:rPr>
          <w:rFonts w:ascii="Times New Roman" w:hAnsi="Times New Roman" w:cs="Times New Roman"/>
        </w:rPr>
        <w:t xml:space="preserve"> example, compared to the general population attaining a secondary education, individuals with ADHD on average had a 4 percent lower income</w:t>
      </w:r>
      <w:r w:rsidR="00D3443C">
        <w:rPr>
          <w:rFonts w:ascii="Times New Roman" w:hAnsi="Times New Roman" w:cs="Times New Roman"/>
        </w:rPr>
        <w:t xml:space="preserve"> (income ratio=0.96 [0.95</w:t>
      </w:r>
      <w:r>
        <w:rPr>
          <w:rFonts w:ascii="Times New Roman" w:hAnsi="Times New Roman" w:cs="Times New Roman"/>
        </w:rPr>
        <w:t>, 0.98]</w:t>
      </w:r>
      <w:r w:rsidRPr="00EC6D66">
        <w:rPr>
          <w:rFonts w:ascii="Times New Roman" w:hAnsi="Times New Roman" w:cs="Times New Roman"/>
        </w:rPr>
        <w:t xml:space="preserve"> in the period after the educational completion relative to the period before.</w:t>
      </w:r>
      <w:r>
        <w:rPr>
          <w:rFonts w:ascii="Times New Roman" w:hAnsi="Times New Roman" w:cs="Times New Roman"/>
        </w:rPr>
        <w:t xml:space="preserve"> During this period,</w:t>
      </w:r>
      <w:r w:rsidRPr="00EC6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income trend for individuals with ADHD was not distinguishable (income ratio=1.00) from the general population (income ratio=1.00). Note that the association denoted “Level” for individuals with ADHD and compulsory EA is a main effect of (lifetime) ADHD. No compulsory level effect exists for controls since this is subsumed in the population trend in occupational outcomes.</w:t>
      </w:r>
    </w:p>
    <w:p w14:paraId="3D93A611" w14:textId="77777777" w:rsidR="00A6041E" w:rsidRDefault="00A6041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6"/>
        <w:gridCol w:w="1205"/>
        <w:gridCol w:w="1403"/>
        <w:gridCol w:w="1396"/>
        <w:gridCol w:w="1205"/>
        <w:gridCol w:w="1337"/>
        <w:gridCol w:w="1604"/>
      </w:tblGrid>
      <w:tr w:rsidR="004B54A6" w:rsidRPr="007E7EC7" w14:paraId="6CBAD555" w14:textId="77777777" w:rsidTr="00075272">
        <w:tc>
          <w:tcPr>
            <w:tcW w:w="9396" w:type="dxa"/>
            <w:gridSpan w:val="7"/>
            <w:vAlign w:val="center"/>
          </w:tcPr>
          <w:p w14:paraId="6456B06B" w14:textId="77777777" w:rsidR="004B54A6" w:rsidRPr="007E7EC7" w:rsidRDefault="004B54A6" w:rsidP="00075272">
            <w:pPr>
              <w:pStyle w:val="BodyText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Influence of EA on occupational trajectories in ADHD</w:t>
            </w:r>
          </w:p>
        </w:tc>
      </w:tr>
      <w:tr w:rsidR="004B54A6" w:rsidRPr="00AF66E7" w14:paraId="27A56B17" w14:textId="77777777" w:rsidTr="00075272">
        <w:tc>
          <w:tcPr>
            <w:tcW w:w="1246" w:type="dxa"/>
            <w:vAlign w:val="center"/>
          </w:tcPr>
          <w:p w14:paraId="5696FD43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4" w:type="dxa"/>
            <w:gridSpan w:val="3"/>
            <w:vAlign w:val="center"/>
          </w:tcPr>
          <w:p w14:paraId="797ED604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ADHD</w:t>
            </w:r>
          </w:p>
        </w:tc>
        <w:tc>
          <w:tcPr>
            <w:tcW w:w="4146" w:type="dxa"/>
            <w:gridSpan w:val="3"/>
            <w:vAlign w:val="center"/>
          </w:tcPr>
          <w:p w14:paraId="11E56020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Population</w:t>
            </w:r>
          </w:p>
        </w:tc>
      </w:tr>
      <w:tr w:rsidR="004B54A6" w:rsidRPr="00AF66E7" w14:paraId="0C6103F8" w14:textId="77777777" w:rsidTr="00075272">
        <w:tc>
          <w:tcPr>
            <w:tcW w:w="1246" w:type="dxa"/>
            <w:vAlign w:val="center"/>
          </w:tcPr>
          <w:p w14:paraId="100A256E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4" w:type="dxa"/>
            <w:gridSpan w:val="3"/>
            <w:vAlign w:val="center"/>
          </w:tcPr>
          <w:p w14:paraId="704A98CB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Educational attainment</w:t>
            </w:r>
          </w:p>
        </w:tc>
        <w:tc>
          <w:tcPr>
            <w:tcW w:w="4146" w:type="dxa"/>
            <w:gridSpan w:val="3"/>
            <w:vAlign w:val="center"/>
          </w:tcPr>
          <w:p w14:paraId="78D4878C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Educational attainment</w:t>
            </w:r>
          </w:p>
        </w:tc>
      </w:tr>
      <w:tr w:rsidR="004B54A6" w:rsidRPr="00AF66E7" w14:paraId="44060544" w14:textId="77777777" w:rsidTr="00075272">
        <w:tc>
          <w:tcPr>
            <w:tcW w:w="1246" w:type="dxa"/>
            <w:vAlign w:val="center"/>
          </w:tcPr>
          <w:p w14:paraId="00E1E92F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5BB6A5E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Compulsory</w:t>
            </w:r>
          </w:p>
        </w:tc>
        <w:tc>
          <w:tcPr>
            <w:tcW w:w="1403" w:type="dxa"/>
            <w:vAlign w:val="center"/>
          </w:tcPr>
          <w:p w14:paraId="31EC7E21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Secondary</w:t>
            </w:r>
          </w:p>
        </w:tc>
        <w:tc>
          <w:tcPr>
            <w:tcW w:w="1396" w:type="dxa"/>
            <w:vAlign w:val="center"/>
          </w:tcPr>
          <w:p w14:paraId="58AF7F3E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Tertiary</w:t>
            </w:r>
          </w:p>
        </w:tc>
        <w:tc>
          <w:tcPr>
            <w:tcW w:w="1205" w:type="dxa"/>
            <w:vAlign w:val="center"/>
          </w:tcPr>
          <w:p w14:paraId="5FB163C2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Compulsory</w:t>
            </w:r>
          </w:p>
        </w:tc>
        <w:tc>
          <w:tcPr>
            <w:tcW w:w="1337" w:type="dxa"/>
            <w:vAlign w:val="center"/>
          </w:tcPr>
          <w:p w14:paraId="334CFB72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Secondary</w:t>
            </w:r>
          </w:p>
        </w:tc>
        <w:tc>
          <w:tcPr>
            <w:tcW w:w="1604" w:type="dxa"/>
            <w:vAlign w:val="center"/>
          </w:tcPr>
          <w:p w14:paraId="2B570275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Tertiary</w:t>
            </w:r>
          </w:p>
        </w:tc>
      </w:tr>
      <w:tr w:rsidR="004B54A6" w:rsidRPr="00AF66E7" w14:paraId="75280ADD" w14:textId="77777777" w:rsidTr="00075272">
        <w:tc>
          <w:tcPr>
            <w:tcW w:w="1246" w:type="dxa"/>
            <w:vAlign w:val="center"/>
          </w:tcPr>
          <w:p w14:paraId="3604D579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0" w:type="dxa"/>
            <w:gridSpan w:val="6"/>
            <w:vAlign w:val="center"/>
          </w:tcPr>
          <w:p w14:paraId="727E5FA4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Income ratio</w:t>
            </w:r>
          </w:p>
        </w:tc>
      </w:tr>
      <w:tr w:rsidR="004B54A6" w:rsidRPr="00AF66E7" w14:paraId="0C36FD24" w14:textId="77777777" w:rsidTr="00075272">
        <w:tc>
          <w:tcPr>
            <w:tcW w:w="1246" w:type="dxa"/>
            <w:vAlign w:val="center"/>
          </w:tcPr>
          <w:p w14:paraId="1C35BCE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0" w:type="dxa"/>
            <w:gridSpan w:val="6"/>
            <w:vAlign w:val="center"/>
          </w:tcPr>
          <w:p w14:paraId="549C535D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Crude</w:t>
            </w:r>
          </w:p>
        </w:tc>
      </w:tr>
      <w:tr w:rsidR="004B54A6" w:rsidRPr="00234595" w14:paraId="7C952069" w14:textId="77777777" w:rsidTr="00075272">
        <w:tc>
          <w:tcPr>
            <w:tcW w:w="1246" w:type="dxa"/>
            <w:vAlign w:val="center"/>
          </w:tcPr>
          <w:p w14:paraId="349A0633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1205" w:type="dxa"/>
            <w:vAlign w:val="center"/>
          </w:tcPr>
          <w:p w14:paraId="13ECAE3E" w14:textId="77777777" w:rsidR="004B54A6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  <w:p w14:paraId="79E5409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(0.92, 0.94)</w:t>
            </w:r>
          </w:p>
        </w:tc>
        <w:tc>
          <w:tcPr>
            <w:tcW w:w="1403" w:type="dxa"/>
            <w:vAlign w:val="center"/>
          </w:tcPr>
          <w:p w14:paraId="6AEB9FF1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  <w:p w14:paraId="6C63DEA7" w14:textId="77777777" w:rsidR="004B54A6" w:rsidRPr="00234595" w:rsidRDefault="00D3443C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(0.92</w:t>
            </w:r>
            <w:r w:rsidR="004B54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0.96</w:t>
            </w:r>
            <w:r w:rsidR="004B54A6"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6" w:type="dxa"/>
            <w:vAlign w:val="center"/>
          </w:tcPr>
          <w:p w14:paraId="4E61A17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  <w:p w14:paraId="127CCC6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(1.19,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1.45)</w:t>
            </w:r>
          </w:p>
        </w:tc>
        <w:tc>
          <w:tcPr>
            <w:tcW w:w="1205" w:type="dxa"/>
            <w:vAlign w:val="center"/>
          </w:tcPr>
          <w:p w14:paraId="58BAEB74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15E79F07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1.44</w:t>
            </w:r>
          </w:p>
          <w:p w14:paraId="71CC99DE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(1.44, 1.45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4" w:type="dxa"/>
            <w:vAlign w:val="center"/>
          </w:tcPr>
          <w:p w14:paraId="5137E10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  <w:p w14:paraId="67C14586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(0.71,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0.72)</w:t>
            </w:r>
          </w:p>
        </w:tc>
      </w:tr>
      <w:tr w:rsidR="004B54A6" w:rsidRPr="00234595" w14:paraId="3B3F7235" w14:textId="77777777" w:rsidTr="00075272">
        <w:tc>
          <w:tcPr>
            <w:tcW w:w="1246" w:type="dxa"/>
            <w:vAlign w:val="center"/>
          </w:tcPr>
          <w:p w14:paraId="00094A38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Trend</w:t>
            </w:r>
          </w:p>
        </w:tc>
        <w:tc>
          <w:tcPr>
            <w:tcW w:w="1205" w:type="dxa"/>
            <w:vAlign w:val="center"/>
          </w:tcPr>
          <w:p w14:paraId="7F70F35F" w14:textId="77777777" w:rsidR="004B54A6" w:rsidRPr="00234595" w:rsidRDefault="00D3443C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  <w:p w14:paraId="2B358A16" w14:textId="77777777" w:rsidR="004B54A6" w:rsidRPr="00234595" w:rsidRDefault="00D3443C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(0.99</w:t>
            </w:r>
            <w:r w:rsidR="004B54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0.99</w:t>
            </w:r>
            <w:r w:rsidR="004B54A6"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3" w:type="dxa"/>
            <w:vAlign w:val="center"/>
          </w:tcPr>
          <w:p w14:paraId="3FFF37F2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  <w:p w14:paraId="3D122378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(0.99,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6" w:type="dxa"/>
            <w:vAlign w:val="center"/>
          </w:tcPr>
          <w:p w14:paraId="7BE7834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  <w:p w14:paraId="7BA49FC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(0.97,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0.99)</w:t>
            </w:r>
          </w:p>
        </w:tc>
        <w:tc>
          <w:tcPr>
            <w:tcW w:w="1205" w:type="dxa"/>
            <w:vAlign w:val="center"/>
          </w:tcPr>
          <w:p w14:paraId="75924C5D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0888791C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  <w:p w14:paraId="769ADB3E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(0.98,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0.98)</w:t>
            </w:r>
          </w:p>
        </w:tc>
        <w:tc>
          <w:tcPr>
            <w:tcW w:w="1604" w:type="dxa"/>
            <w:vAlign w:val="center"/>
          </w:tcPr>
          <w:p w14:paraId="2DD9E2F2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  <w:p w14:paraId="1AE4167D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(1.03,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1.03)</w:t>
            </w:r>
          </w:p>
        </w:tc>
      </w:tr>
      <w:tr w:rsidR="004B54A6" w:rsidRPr="00AF66E7" w14:paraId="58BEF26E" w14:textId="77777777" w:rsidTr="00075272">
        <w:tc>
          <w:tcPr>
            <w:tcW w:w="1246" w:type="dxa"/>
            <w:vAlign w:val="center"/>
          </w:tcPr>
          <w:p w14:paraId="0C0D28F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0" w:type="dxa"/>
            <w:gridSpan w:val="6"/>
            <w:vAlign w:val="center"/>
          </w:tcPr>
          <w:p w14:paraId="6FE90057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Adjusted</w:t>
            </w:r>
          </w:p>
        </w:tc>
      </w:tr>
      <w:tr w:rsidR="004B54A6" w:rsidRPr="00234595" w14:paraId="0610FA51" w14:textId="77777777" w:rsidTr="00075272">
        <w:tc>
          <w:tcPr>
            <w:tcW w:w="1246" w:type="dxa"/>
            <w:vAlign w:val="center"/>
          </w:tcPr>
          <w:p w14:paraId="3067444C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1205" w:type="dxa"/>
            <w:vAlign w:val="center"/>
          </w:tcPr>
          <w:p w14:paraId="04B3E564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403" w:type="dxa"/>
            <w:vAlign w:val="center"/>
          </w:tcPr>
          <w:p w14:paraId="0473CF46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  <w:p w14:paraId="69E36EC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(0.95,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0.98)</w:t>
            </w:r>
          </w:p>
        </w:tc>
        <w:tc>
          <w:tcPr>
            <w:tcW w:w="1396" w:type="dxa"/>
            <w:vAlign w:val="center"/>
          </w:tcPr>
          <w:p w14:paraId="551D5A33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  <w:p w14:paraId="621A402D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(1.07,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1.23)</w:t>
            </w:r>
          </w:p>
        </w:tc>
        <w:tc>
          <w:tcPr>
            <w:tcW w:w="1205" w:type="dxa"/>
            <w:vAlign w:val="center"/>
          </w:tcPr>
          <w:p w14:paraId="241CDC89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0245339D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  <w:p w14:paraId="33D9B839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(1.27,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1.28)</w:t>
            </w:r>
          </w:p>
        </w:tc>
        <w:tc>
          <w:tcPr>
            <w:tcW w:w="1604" w:type="dxa"/>
            <w:vAlign w:val="center"/>
          </w:tcPr>
          <w:p w14:paraId="427D204D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  <w:p w14:paraId="554D004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(0.79,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0.80)</w:t>
            </w:r>
          </w:p>
        </w:tc>
      </w:tr>
      <w:tr w:rsidR="004B54A6" w:rsidRPr="00234595" w14:paraId="21CB46F1" w14:textId="77777777" w:rsidTr="00075272">
        <w:tc>
          <w:tcPr>
            <w:tcW w:w="1246" w:type="dxa"/>
            <w:vAlign w:val="center"/>
          </w:tcPr>
          <w:p w14:paraId="545FAA53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Trend</w:t>
            </w:r>
          </w:p>
        </w:tc>
        <w:tc>
          <w:tcPr>
            <w:tcW w:w="1205" w:type="dxa"/>
            <w:vAlign w:val="center"/>
          </w:tcPr>
          <w:p w14:paraId="75161521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  <w:p w14:paraId="6B35912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(0.98,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0.99)</w:t>
            </w:r>
          </w:p>
        </w:tc>
        <w:tc>
          <w:tcPr>
            <w:tcW w:w="1403" w:type="dxa"/>
            <w:vAlign w:val="center"/>
          </w:tcPr>
          <w:p w14:paraId="010EF3F8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  <w:p w14:paraId="35B2206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(1.00,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1.01)</w:t>
            </w:r>
          </w:p>
        </w:tc>
        <w:tc>
          <w:tcPr>
            <w:tcW w:w="1396" w:type="dxa"/>
            <w:vAlign w:val="center"/>
          </w:tcPr>
          <w:p w14:paraId="0D90CDF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  <w:p w14:paraId="0739EF19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(0.98,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0.99)</w:t>
            </w:r>
          </w:p>
        </w:tc>
        <w:tc>
          <w:tcPr>
            <w:tcW w:w="1205" w:type="dxa"/>
            <w:vAlign w:val="center"/>
          </w:tcPr>
          <w:p w14:paraId="5496434F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23A11481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  <w:p w14:paraId="759C546E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(0.99,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0.99)</w:t>
            </w:r>
          </w:p>
        </w:tc>
        <w:tc>
          <w:tcPr>
            <w:tcW w:w="1604" w:type="dxa"/>
            <w:vAlign w:val="center"/>
          </w:tcPr>
          <w:p w14:paraId="095FE95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  <w:p w14:paraId="3F866486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(1.03,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1.03)</w:t>
            </w:r>
          </w:p>
        </w:tc>
      </w:tr>
      <w:tr w:rsidR="004B54A6" w:rsidRPr="00AF66E7" w14:paraId="1D52EC2A" w14:textId="77777777" w:rsidTr="00075272">
        <w:tc>
          <w:tcPr>
            <w:tcW w:w="1246" w:type="dxa"/>
            <w:vAlign w:val="center"/>
          </w:tcPr>
          <w:p w14:paraId="0E6D525D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0" w:type="dxa"/>
            <w:gridSpan w:val="6"/>
            <w:vAlign w:val="center"/>
          </w:tcPr>
          <w:p w14:paraId="12FD5FDA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Unemployment days</w:t>
            </w:r>
          </w:p>
        </w:tc>
      </w:tr>
      <w:tr w:rsidR="004B54A6" w:rsidRPr="00AF66E7" w14:paraId="0799E05A" w14:textId="77777777" w:rsidTr="00075272">
        <w:tc>
          <w:tcPr>
            <w:tcW w:w="1246" w:type="dxa"/>
            <w:vAlign w:val="center"/>
          </w:tcPr>
          <w:p w14:paraId="113AC30E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0" w:type="dxa"/>
            <w:gridSpan w:val="6"/>
            <w:vAlign w:val="center"/>
          </w:tcPr>
          <w:p w14:paraId="1659A19E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Crude</w:t>
            </w:r>
          </w:p>
        </w:tc>
      </w:tr>
      <w:tr w:rsidR="004B54A6" w:rsidRPr="00234595" w14:paraId="49019C3B" w14:textId="77777777" w:rsidTr="00075272">
        <w:tc>
          <w:tcPr>
            <w:tcW w:w="1246" w:type="dxa"/>
            <w:vAlign w:val="center"/>
          </w:tcPr>
          <w:p w14:paraId="354087C8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1205" w:type="dxa"/>
            <w:vAlign w:val="center"/>
          </w:tcPr>
          <w:p w14:paraId="07A5C825" w14:textId="77777777" w:rsidR="004B54A6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3.64</w:t>
            </w:r>
          </w:p>
          <w:p w14:paraId="7DFBE7A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(3.32, 3.96)</w:t>
            </w:r>
          </w:p>
        </w:tc>
        <w:tc>
          <w:tcPr>
            <w:tcW w:w="1403" w:type="dxa"/>
            <w:vAlign w:val="center"/>
          </w:tcPr>
          <w:p w14:paraId="43F355C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11.25</w:t>
            </w:r>
          </w:p>
          <w:p w14:paraId="692D7D4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(10.03,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12.46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6" w:type="dxa"/>
            <w:vAlign w:val="center"/>
          </w:tcPr>
          <w:p w14:paraId="112C7839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-15.25</w:t>
            </w:r>
          </w:p>
          <w:p w14:paraId="720CCB3E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(-20.91, -9.59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14:paraId="6FDDEDA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2FF206BE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-1.96</w:t>
            </w:r>
          </w:p>
          <w:p w14:paraId="72F964FD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(-2.29, -1.62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4" w:type="dxa"/>
            <w:vAlign w:val="center"/>
          </w:tcPr>
          <w:p w14:paraId="64A4201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-13.83</w:t>
            </w:r>
          </w:p>
          <w:p w14:paraId="076F0438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(-14.13,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-13.54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B54A6" w:rsidRPr="00234595" w14:paraId="08EE3671" w14:textId="77777777" w:rsidTr="00075272">
        <w:tc>
          <w:tcPr>
            <w:tcW w:w="1246" w:type="dxa"/>
            <w:vAlign w:val="center"/>
          </w:tcPr>
          <w:p w14:paraId="5DD34CA3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Trend</w:t>
            </w:r>
          </w:p>
        </w:tc>
        <w:tc>
          <w:tcPr>
            <w:tcW w:w="1205" w:type="dxa"/>
            <w:vAlign w:val="center"/>
          </w:tcPr>
          <w:p w14:paraId="0E2FF4D1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  <w:p w14:paraId="60CFA31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(0.10, 0.38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3" w:type="dxa"/>
            <w:vAlign w:val="center"/>
          </w:tcPr>
          <w:p w14:paraId="18B130F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-0.26</w:t>
            </w:r>
          </w:p>
          <w:p w14:paraId="60AFDAED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(-0.49, -0.04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6" w:type="dxa"/>
            <w:vAlign w:val="center"/>
          </w:tcPr>
          <w:p w14:paraId="556EB194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  <w:p w14:paraId="129F61CC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(0.44, 1.68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14:paraId="07777939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0D72365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-1.56</w:t>
            </w:r>
          </w:p>
          <w:p w14:paraId="719B1E5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(-1.62,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-1.49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4" w:type="dxa"/>
            <w:vAlign w:val="center"/>
          </w:tcPr>
          <w:p w14:paraId="66E6CF2F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  <w:p w14:paraId="3FA71C1C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(0.55, 0.62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B54A6" w:rsidRPr="00AF66E7" w14:paraId="27CD1767" w14:textId="77777777" w:rsidTr="00075272">
        <w:tc>
          <w:tcPr>
            <w:tcW w:w="1246" w:type="dxa"/>
            <w:vAlign w:val="center"/>
          </w:tcPr>
          <w:p w14:paraId="35AB3F7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0" w:type="dxa"/>
            <w:gridSpan w:val="6"/>
            <w:vAlign w:val="center"/>
          </w:tcPr>
          <w:p w14:paraId="05AF0E87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Adjusted</w:t>
            </w:r>
          </w:p>
        </w:tc>
      </w:tr>
      <w:tr w:rsidR="004B54A6" w:rsidRPr="00234595" w14:paraId="5A95652F" w14:textId="77777777" w:rsidTr="00075272">
        <w:tc>
          <w:tcPr>
            <w:tcW w:w="1246" w:type="dxa"/>
            <w:vAlign w:val="center"/>
          </w:tcPr>
          <w:p w14:paraId="02079367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1205" w:type="dxa"/>
            <w:vAlign w:val="center"/>
          </w:tcPr>
          <w:p w14:paraId="77AE86BE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403" w:type="dxa"/>
            <w:vAlign w:val="center"/>
          </w:tcPr>
          <w:p w14:paraId="7D742D4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17.46</w:t>
            </w:r>
          </w:p>
          <w:p w14:paraId="6CFA9A58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(16.20, 18.73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6" w:type="dxa"/>
            <w:vAlign w:val="center"/>
          </w:tcPr>
          <w:p w14:paraId="650004CC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-12.58</w:t>
            </w:r>
          </w:p>
          <w:p w14:paraId="4CC4F66D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(-18.46, -6.69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14:paraId="3B2E9827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058FE0DF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10.67</w:t>
            </w:r>
          </w:p>
          <w:p w14:paraId="7BB2702C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(10.34, 11.00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4" w:type="dxa"/>
            <w:vAlign w:val="center"/>
          </w:tcPr>
          <w:p w14:paraId="07864BC9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-3.60</w:t>
            </w:r>
          </w:p>
          <w:p w14:paraId="461624F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(-3.91,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-3.28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B54A6" w:rsidRPr="00234595" w14:paraId="02847FC9" w14:textId="77777777" w:rsidTr="00075272">
        <w:tc>
          <w:tcPr>
            <w:tcW w:w="1246" w:type="dxa"/>
            <w:vAlign w:val="center"/>
          </w:tcPr>
          <w:p w14:paraId="3057982A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Trend</w:t>
            </w:r>
          </w:p>
        </w:tc>
        <w:tc>
          <w:tcPr>
            <w:tcW w:w="1205" w:type="dxa"/>
            <w:vAlign w:val="center"/>
          </w:tcPr>
          <w:p w14:paraId="2B753FCD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  <w:p w14:paraId="4C1D6C52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(1.00, 1.28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3" w:type="dxa"/>
            <w:vAlign w:val="center"/>
          </w:tcPr>
          <w:p w14:paraId="1FD15F41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-1.20</w:t>
            </w:r>
          </w:p>
          <w:p w14:paraId="3E4015CF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(-1.42, -0.97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6" w:type="dxa"/>
            <w:vAlign w:val="center"/>
          </w:tcPr>
          <w:p w14:paraId="3B916DD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  <w:p w14:paraId="552F50B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(0.59, 1.88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14:paraId="1338F34C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0ADA6A87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-1.99</w:t>
            </w:r>
          </w:p>
          <w:p w14:paraId="78356E31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(-2.05, -1.93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4" w:type="dxa"/>
            <w:vAlign w:val="center"/>
          </w:tcPr>
          <w:p w14:paraId="34D1540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  <w:p w14:paraId="5D9043C3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(0.45, 0.53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B54A6" w:rsidRPr="00AF66E7" w14:paraId="64ADBED1" w14:textId="77777777" w:rsidTr="00075272">
        <w:tc>
          <w:tcPr>
            <w:tcW w:w="1246" w:type="dxa"/>
            <w:vAlign w:val="center"/>
          </w:tcPr>
          <w:p w14:paraId="302703BC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0" w:type="dxa"/>
            <w:gridSpan w:val="6"/>
            <w:vAlign w:val="center"/>
          </w:tcPr>
          <w:p w14:paraId="63C7023D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Disability pension, Odds-ratio; % risk-difference</w:t>
            </w:r>
          </w:p>
        </w:tc>
      </w:tr>
      <w:tr w:rsidR="004B54A6" w:rsidRPr="00AF66E7" w14:paraId="5972560D" w14:textId="77777777" w:rsidTr="00075272">
        <w:tc>
          <w:tcPr>
            <w:tcW w:w="1246" w:type="dxa"/>
            <w:vAlign w:val="center"/>
          </w:tcPr>
          <w:p w14:paraId="787E3DE6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0" w:type="dxa"/>
            <w:gridSpan w:val="6"/>
            <w:vAlign w:val="center"/>
          </w:tcPr>
          <w:p w14:paraId="1E19A8ED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Crude</w:t>
            </w:r>
          </w:p>
        </w:tc>
      </w:tr>
      <w:tr w:rsidR="004B54A6" w:rsidRPr="00234595" w14:paraId="0DDB4C2B" w14:textId="77777777" w:rsidTr="00075272">
        <w:tc>
          <w:tcPr>
            <w:tcW w:w="1246" w:type="dxa"/>
            <w:vAlign w:val="center"/>
          </w:tcPr>
          <w:p w14:paraId="125C1548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1205" w:type="dxa"/>
            <w:vAlign w:val="center"/>
          </w:tcPr>
          <w:p w14:paraId="71A9157D" w14:textId="77777777" w:rsidR="004B54A6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  <w:p w14:paraId="7EAA4E4C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(1.00, 1.00)</w:t>
            </w:r>
          </w:p>
        </w:tc>
        <w:tc>
          <w:tcPr>
            <w:tcW w:w="1403" w:type="dxa"/>
            <w:vAlign w:val="center"/>
          </w:tcPr>
          <w:p w14:paraId="668ABD68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  <w:p w14:paraId="73912C19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(1.00,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1.02)</w:t>
            </w:r>
          </w:p>
        </w:tc>
        <w:tc>
          <w:tcPr>
            <w:tcW w:w="1396" w:type="dxa"/>
            <w:vAlign w:val="center"/>
          </w:tcPr>
          <w:p w14:paraId="2355BBD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  <w:p w14:paraId="2B12D07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(0.96,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1.01)</w:t>
            </w:r>
          </w:p>
        </w:tc>
        <w:tc>
          <w:tcPr>
            <w:tcW w:w="1205" w:type="dxa"/>
            <w:vAlign w:val="center"/>
          </w:tcPr>
          <w:p w14:paraId="0BD3232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3DF8F13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  <w:p w14:paraId="124B1849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(0.97,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0.98)</w:t>
            </w:r>
          </w:p>
        </w:tc>
        <w:tc>
          <w:tcPr>
            <w:tcW w:w="1604" w:type="dxa"/>
            <w:vAlign w:val="center"/>
          </w:tcPr>
          <w:p w14:paraId="65EF76A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  <w:p w14:paraId="2EA8694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(0.99,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0.99)</w:t>
            </w:r>
          </w:p>
        </w:tc>
      </w:tr>
      <w:tr w:rsidR="004B54A6" w:rsidRPr="00234595" w14:paraId="13FB2FFF" w14:textId="77777777" w:rsidTr="00075272">
        <w:tc>
          <w:tcPr>
            <w:tcW w:w="1246" w:type="dxa"/>
            <w:vAlign w:val="center"/>
          </w:tcPr>
          <w:p w14:paraId="3105C7C4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Trend</w:t>
            </w:r>
          </w:p>
        </w:tc>
        <w:tc>
          <w:tcPr>
            <w:tcW w:w="1205" w:type="dxa"/>
            <w:vAlign w:val="center"/>
          </w:tcPr>
          <w:p w14:paraId="45CD823E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  <w:p w14:paraId="780A6EC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(1.02, 1.03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3" w:type="dxa"/>
            <w:vAlign w:val="center"/>
          </w:tcPr>
          <w:p w14:paraId="43486B22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  <w:p w14:paraId="4C42E306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(0.99, 0.99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6" w:type="dxa"/>
            <w:vAlign w:val="center"/>
          </w:tcPr>
          <w:p w14:paraId="3D0C37B2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  <w:p w14:paraId="18C16B54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(0.99, 0.99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14:paraId="4F3F29D1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45340886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  <w:p w14:paraId="7837CF19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(1.00, 1.00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4" w:type="dxa"/>
            <w:vAlign w:val="center"/>
          </w:tcPr>
          <w:p w14:paraId="1010EAC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  <w:p w14:paraId="740C3932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B54A6" w:rsidRPr="00AF66E7" w14:paraId="00D36719" w14:textId="77777777" w:rsidTr="00075272">
        <w:tc>
          <w:tcPr>
            <w:tcW w:w="1246" w:type="dxa"/>
            <w:vAlign w:val="center"/>
          </w:tcPr>
          <w:p w14:paraId="266D14C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0" w:type="dxa"/>
            <w:gridSpan w:val="6"/>
            <w:vAlign w:val="center"/>
          </w:tcPr>
          <w:p w14:paraId="41C36A57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Adjusted</w:t>
            </w:r>
          </w:p>
        </w:tc>
      </w:tr>
      <w:tr w:rsidR="004B54A6" w:rsidRPr="00234595" w14:paraId="50C79E56" w14:textId="77777777" w:rsidTr="00075272">
        <w:tc>
          <w:tcPr>
            <w:tcW w:w="1246" w:type="dxa"/>
            <w:vAlign w:val="center"/>
          </w:tcPr>
          <w:p w14:paraId="4926D53E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1205" w:type="dxa"/>
            <w:vAlign w:val="center"/>
          </w:tcPr>
          <w:p w14:paraId="71CF76F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403" w:type="dxa"/>
            <w:vAlign w:val="center"/>
          </w:tcPr>
          <w:p w14:paraId="3F1436C1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2.21; 0.19</w:t>
            </w:r>
          </w:p>
          <w:p w14:paraId="05854D2E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(1.69, 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2.89)</w:t>
            </w:r>
          </w:p>
        </w:tc>
        <w:tc>
          <w:tcPr>
            <w:tcW w:w="1396" w:type="dxa"/>
            <w:vAlign w:val="center"/>
          </w:tcPr>
          <w:p w14:paraId="65EE80A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1.13; 0.03</w:t>
            </w:r>
          </w:p>
          <w:p w14:paraId="09C96CB2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(0.18,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6.97)</w:t>
            </w:r>
          </w:p>
        </w:tc>
        <w:tc>
          <w:tcPr>
            <w:tcW w:w="1205" w:type="dxa"/>
            <w:vAlign w:val="center"/>
          </w:tcPr>
          <w:p w14:paraId="0F5B91B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46F254B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0.15; -0.43</w:t>
            </w:r>
          </w:p>
          <w:p w14:paraId="59A93A56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(0.13,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0.17)</w:t>
            </w:r>
          </w:p>
        </w:tc>
        <w:tc>
          <w:tcPr>
            <w:tcW w:w="1604" w:type="dxa"/>
            <w:vAlign w:val="center"/>
          </w:tcPr>
          <w:p w14:paraId="4C2FDC1E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0.05; -0.62</w:t>
            </w:r>
          </w:p>
          <w:p w14:paraId="631C53CC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(0.02,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0.08)</w:t>
            </w:r>
          </w:p>
        </w:tc>
      </w:tr>
      <w:tr w:rsidR="004B54A6" w:rsidRPr="00234595" w14:paraId="6FBA122B" w14:textId="77777777" w:rsidTr="00075272">
        <w:tc>
          <w:tcPr>
            <w:tcW w:w="1246" w:type="dxa"/>
            <w:vAlign w:val="center"/>
          </w:tcPr>
          <w:p w14:paraId="1512324B" w14:textId="77777777" w:rsidR="004B54A6" w:rsidRPr="00AF66E7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6E7">
              <w:rPr>
                <w:rFonts w:ascii="Times New Roman" w:hAnsi="Times New Roman" w:cs="Times New Roman"/>
                <w:b/>
                <w:sz w:val="16"/>
                <w:szCs w:val="16"/>
              </w:rPr>
              <w:t>Trend</w:t>
            </w:r>
          </w:p>
        </w:tc>
        <w:tc>
          <w:tcPr>
            <w:tcW w:w="1205" w:type="dxa"/>
            <w:vAlign w:val="center"/>
          </w:tcPr>
          <w:p w14:paraId="7620340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1.24;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0.05</w:t>
            </w:r>
          </w:p>
          <w:p w14:paraId="4C79912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(1.19,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1.29)</w:t>
            </w:r>
          </w:p>
        </w:tc>
        <w:tc>
          <w:tcPr>
            <w:tcW w:w="1403" w:type="dxa"/>
            <w:vAlign w:val="center"/>
          </w:tcPr>
          <w:p w14:paraId="6EC2EC2B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0.88; -0.03</w:t>
            </w:r>
          </w:p>
          <w:p w14:paraId="46EB2DC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(0.84,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0.92)</w:t>
            </w:r>
          </w:p>
        </w:tc>
        <w:tc>
          <w:tcPr>
            <w:tcW w:w="1396" w:type="dxa"/>
            <w:vAlign w:val="center"/>
          </w:tcPr>
          <w:p w14:paraId="4746E99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1.00; -0.00</w:t>
            </w:r>
          </w:p>
          <w:p w14:paraId="067CA465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(0.85,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1.18)</w:t>
            </w:r>
          </w:p>
        </w:tc>
        <w:tc>
          <w:tcPr>
            <w:tcW w:w="1205" w:type="dxa"/>
            <w:vAlign w:val="center"/>
          </w:tcPr>
          <w:p w14:paraId="76BB7C4C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337" w:type="dxa"/>
            <w:vAlign w:val="center"/>
          </w:tcPr>
          <w:p w14:paraId="119C6600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1.09; 0.02</w:t>
            </w:r>
          </w:p>
          <w:p w14:paraId="3801C12D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(1.07,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1.12)</w:t>
            </w:r>
          </w:p>
        </w:tc>
        <w:tc>
          <w:tcPr>
            <w:tcW w:w="1604" w:type="dxa"/>
            <w:vAlign w:val="center"/>
          </w:tcPr>
          <w:p w14:paraId="365CB783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1.06; 0.01</w:t>
            </w:r>
          </w:p>
          <w:p w14:paraId="1DF8E01A" w14:textId="77777777" w:rsidR="004B54A6" w:rsidRPr="00234595" w:rsidRDefault="004B54A6" w:rsidP="00075272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1.00,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1.13)</w:t>
            </w:r>
          </w:p>
        </w:tc>
      </w:tr>
      <w:tr w:rsidR="004B54A6" w:rsidRPr="00234595" w14:paraId="6143EC69" w14:textId="77777777" w:rsidTr="00075272">
        <w:tc>
          <w:tcPr>
            <w:tcW w:w="9396" w:type="dxa"/>
            <w:gridSpan w:val="7"/>
            <w:vAlign w:val="center"/>
          </w:tcPr>
          <w:p w14:paraId="5057FBD3" w14:textId="77777777" w:rsidR="004B54A6" w:rsidRDefault="004B54A6" w:rsidP="00075272">
            <w:pPr>
              <w:pStyle w:val="BodyText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0C04">
              <w:rPr>
                <w:rFonts w:ascii="Times New Roman" w:hAnsi="Times New Roman" w:cs="Times New Roman"/>
                <w:b/>
                <w:sz w:val="16"/>
                <w:szCs w:val="16"/>
              </w:rPr>
              <w:t>REF: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Reference. As (virtually) all individuals graduate compulsory school at the start of follow-up, the only diﬀerence estimated here is the yearly trend speciﬁc to ADHD. </w:t>
            </w:r>
            <w:r w:rsidRPr="001B5426">
              <w:rPr>
                <w:rFonts w:ascii="Times New Roman" w:hAnsi="Times New Roman" w:cs="Times New Roman"/>
                <w:b/>
                <w:sz w:val="16"/>
                <w:szCs w:val="16"/>
              </w:rPr>
              <w:t>Level: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The associated diﬀerence between the period after an educational completion compared to the period before (i.e., 1 in the years after an EA, 0 before), by the presence of ADHD (e.g., 1 when ADHD and the year is after secondary EA). </w:t>
            </w:r>
            <w:r w:rsidRPr="001B5426">
              <w:rPr>
                <w:rFonts w:ascii="Times New Roman" w:hAnsi="Times New Roman" w:cs="Times New Roman"/>
                <w:b/>
                <w:sz w:val="16"/>
                <w:szCs w:val="16"/>
              </w:rPr>
              <w:t>Trend: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Secondary and Tertiary columns denote the interactions between a yearly trend (0-15), ADHD and each educational attainment respectively (i.e., 1 the years after an EA, 0 before). </w:t>
            </w:r>
          </w:p>
          <w:p w14:paraId="5A649F66" w14:textId="77777777" w:rsidR="004B54A6" w:rsidRPr="00234595" w:rsidRDefault="004B54A6" w:rsidP="00075272">
            <w:pPr>
              <w:pStyle w:val="BodyText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5426">
              <w:rPr>
                <w:rFonts w:ascii="Times New Roman" w:hAnsi="Times New Roman" w:cs="Times New Roman"/>
                <w:b/>
                <w:sz w:val="16"/>
                <w:szCs w:val="16"/>
              </w:rPr>
              <w:t>Model speciﬁcation: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All models included year of observation as a population ﬁxed-eﬀect (16 levels).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crude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models included indicators for year of compulsory school graduation (11 levels)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and an indicator for a lifetime diagnosis of ADHD (1 when true, 0 otherwise)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. The adjusted models included individual ﬁxed-eﬀects (within individual model). Covariates in the adjusted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odels varied by outcome follows.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come: Indicators of study benefits and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 xml:space="preserve"> disability pension, days unempl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oyed, and 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one year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lag of log(i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ncome) (i.e., income at t regressed on income at t−1). Unemployment: Indicators of study income and disabil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ty pension. Disabil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234595">
              <w:rPr>
                <w:rFonts w:ascii="Times New Roman" w:hAnsi="Times New Roman" w:cs="Times New Roman"/>
                <w:sz w:val="16"/>
                <w:szCs w:val="16"/>
              </w:rPr>
              <w:t>ty pension: Unemployment, study beneﬁts, and an indicator of being 19 years of age or older in 2003 as an eligibility requirement was implemented in this year</w:t>
            </w:r>
          </w:p>
        </w:tc>
      </w:tr>
    </w:tbl>
    <w:p w14:paraId="05D1689E" w14:textId="77777777" w:rsidR="009B67EF" w:rsidRDefault="00A360F6"/>
    <w:sectPr w:rsidR="009B67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A6"/>
    <w:rsid w:val="00013F4F"/>
    <w:rsid w:val="002539F2"/>
    <w:rsid w:val="003743A5"/>
    <w:rsid w:val="00455D6A"/>
    <w:rsid w:val="004B54A6"/>
    <w:rsid w:val="006023FF"/>
    <w:rsid w:val="0068456D"/>
    <w:rsid w:val="00A360F6"/>
    <w:rsid w:val="00A6041E"/>
    <w:rsid w:val="00C746C8"/>
    <w:rsid w:val="00D3443C"/>
    <w:rsid w:val="00F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E2B7"/>
  <w15:chartTrackingRefBased/>
  <w15:docId w15:val="{DB647F62-CB60-4CE1-AB2B-8BC5459F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4B54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A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FirstParagraph">
    <w:name w:val="First Paragraph"/>
    <w:basedOn w:val="BodyText"/>
    <w:next w:val="BodyText"/>
    <w:qFormat/>
    <w:rsid w:val="004B54A6"/>
    <w:pPr>
      <w:spacing w:before="180" w:after="18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4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4A6"/>
  </w:style>
  <w:style w:type="table" w:styleId="TableGrid">
    <w:name w:val="Table Grid"/>
    <w:basedOn w:val="TableNormal"/>
    <w:rsid w:val="004B54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3493</Characters>
  <Application>Microsoft Office Word</Application>
  <DocSecurity>0</DocSecurity>
  <Lines>29</Lines>
  <Paragraphs>8</Paragraphs>
  <ScaleCrop>false</ScaleCrop>
  <Company>MEB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 Jangmo</dc:creator>
  <cp:keywords/>
  <dc:description/>
  <cp:lastModifiedBy>chn off27</cp:lastModifiedBy>
  <cp:revision>11</cp:revision>
  <dcterms:created xsi:type="dcterms:W3CDTF">2020-10-05T16:06:00Z</dcterms:created>
  <dcterms:modified xsi:type="dcterms:W3CDTF">2021-02-20T12:48:00Z</dcterms:modified>
</cp:coreProperties>
</file>