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49FB8" w14:textId="44B2B8E7" w:rsidR="00913676" w:rsidRPr="00BE50EE" w:rsidRDefault="00913676" w:rsidP="00BA4B0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50E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9603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BE50EE">
        <w:rPr>
          <w:rFonts w:ascii="Times New Roman" w:hAnsi="Times New Roman" w:cs="Times New Roman"/>
          <w:sz w:val="28"/>
          <w:szCs w:val="28"/>
          <w:lang w:val="en-US"/>
        </w:rPr>
        <w:t xml:space="preserve"> Appendix</w:t>
      </w:r>
      <w:r w:rsidR="00BE50EE">
        <w:rPr>
          <w:rFonts w:ascii="Times New Roman" w:hAnsi="Times New Roman" w:cs="Times New Roman"/>
          <w:sz w:val="28"/>
          <w:szCs w:val="28"/>
          <w:lang w:val="en-US"/>
        </w:rPr>
        <w:t>. Analyses of ADHD medication status and occupational outcomes</w:t>
      </w:r>
    </w:p>
    <w:p w14:paraId="2E3024AB" w14:textId="77777777" w:rsidR="00BA4B0D" w:rsidRPr="00BA4B0D" w:rsidRDefault="00BA4B0D" w:rsidP="00BA4B0D">
      <w:pPr>
        <w:rPr>
          <w:rFonts w:ascii="Times New Roman" w:hAnsi="Times New Roman" w:cs="Times New Roman"/>
          <w:b/>
          <w:lang w:val="en-US"/>
        </w:rPr>
      </w:pPr>
      <w:r w:rsidRPr="00BA4B0D">
        <w:rPr>
          <w:rFonts w:ascii="Times New Roman" w:hAnsi="Times New Roman" w:cs="Times New Roman"/>
          <w:b/>
          <w:lang w:val="en-US"/>
        </w:rPr>
        <w:t>Descriptive statistics by ADHD medication status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9"/>
        <w:gridCol w:w="2047"/>
        <w:gridCol w:w="2192"/>
        <w:gridCol w:w="2128"/>
      </w:tblGrid>
      <w:tr w:rsidR="00BA4B0D" w:rsidRPr="007939B8" w14:paraId="59006259" w14:textId="77777777" w:rsidTr="00BE50EE">
        <w:trPr>
          <w:jc w:val="center"/>
        </w:trPr>
        <w:tc>
          <w:tcPr>
            <w:tcW w:w="9396" w:type="dxa"/>
            <w:gridSpan w:val="4"/>
            <w:vAlign w:val="center"/>
          </w:tcPr>
          <w:p w14:paraId="07FB9143" w14:textId="77777777" w:rsidR="00BA4B0D" w:rsidRPr="00BA4B0D" w:rsidRDefault="00BA4B0D" w:rsidP="00091DF2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BA4B0D">
              <w:rPr>
                <w:rFonts w:ascii="Times New Roman" w:hAnsi="Times New Roman" w:cs="Times New Roman"/>
                <w:lang w:val="en-US"/>
              </w:rPr>
              <w:t>Table 1. Descriptive statistics by dispensed ADHD medication status</w:t>
            </w:r>
          </w:p>
        </w:tc>
      </w:tr>
      <w:tr w:rsidR="00BA4B0D" w14:paraId="471ACC11" w14:textId="77777777" w:rsidTr="00BE50EE">
        <w:trPr>
          <w:jc w:val="center"/>
        </w:trPr>
        <w:tc>
          <w:tcPr>
            <w:tcW w:w="3029" w:type="dxa"/>
            <w:vAlign w:val="center"/>
          </w:tcPr>
          <w:p w14:paraId="7EC9D435" w14:textId="77777777" w:rsidR="00BA4B0D" w:rsidRPr="00BA4B0D" w:rsidRDefault="00BA4B0D" w:rsidP="00091DF2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7" w:type="dxa"/>
            <w:vAlign w:val="center"/>
          </w:tcPr>
          <w:p w14:paraId="1FDEFA54" w14:textId="77777777" w:rsidR="00BA4B0D" w:rsidRDefault="0001133F" w:rsidP="00091D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Treated</w:t>
            </w:r>
          </w:p>
        </w:tc>
        <w:tc>
          <w:tcPr>
            <w:tcW w:w="2192" w:type="dxa"/>
            <w:vAlign w:val="center"/>
          </w:tcPr>
          <w:p w14:paraId="483632C5" w14:textId="77777777" w:rsidR="00BA4B0D" w:rsidRDefault="0001133F" w:rsidP="00091D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Untreated</w:t>
            </w:r>
          </w:p>
        </w:tc>
        <w:tc>
          <w:tcPr>
            <w:tcW w:w="2128" w:type="dxa"/>
          </w:tcPr>
          <w:p w14:paraId="624689A1" w14:textId="77777777" w:rsidR="00BA4B0D" w:rsidRDefault="00BA4B0D" w:rsidP="00091D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P-value</w:t>
            </w:r>
            <w:r w:rsidRPr="009B6BB9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BA4B0D" w14:paraId="48A133F1" w14:textId="77777777" w:rsidTr="00BE50EE">
        <w:trPr>
          <w:jc w:val="center"/>
        </w:trPr>
        <w:tc>
          <w:tcPr>
            <w:tcW w:w="3029" w:type="dxa"/>
            <w:vAlign w:val="center"/>
          </w:tcPr>
          <w:p w14:paraId="6A137533" w14:textId="77777777" w:rsidR="00BA4B0D" w:rsidRDefault="00BA4B0D" w:rsidP="00091DF2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Individuals</w:t>
            </w:r>
          </w:p>
        </w:tc>
        <w:tc>
          <w:tcPr>
            <w:tcW w:w="2047" w:type="dxa"/>
            <w:vAlign w:val="center"/>
          </w:tcPr>
          <w:p w14:paraId="07841B3E" w14:textId="77777777" w:rsidR="00BA4B0D" w:rsidRDefault="00BA4B0D" w:rsidP="00091D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23,992 (83)</w:t>
            </w:r>
          </w:p>
        </w:tc>
        <w:tc>
          <w:tcPr>
            <w:tcW w:w="2192" w:type="dxa"/>
            <w:vAlign w:val="center"/>
          </w:tcPr>
          <w:p w14:paraId="7215DAB5" w14:textId="77777777" w:rsidR="00BA4B0D" w:rsidRDefault="00BA4B0D" w:rsidP="00091D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4,922 (17)</w:t>
            </w:r>
          </w:p>
        </w:tc>
        <w:tc>
          <w:tcPr>
            <w:tcW w:w="2128" w:type="dxa"/>
            <w:vAlign w:val="center"/>
          </w:tcPr>
          <w:p w14:paraId="4B745301" w14:textId="77777777" w:rsidR="00BA4B0D" w:rsidRDefault="00BA4B0D" w:rsidP="00091D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B0D" w14:paraId="4EDE4821" w14:textId="77777777" w:rsidTr="00BE50EE">
        <w:trPr>
          <w:jc w:val="center"/>
        </w:trPr>
        <w:tc>
          <w:tcPr>
            <w:tcW w:w="3029" w:type="dxa"/>
            <w:vAlign w:val="center"/>
          </w:tcPr>
          <w:p w14:paraId="6B527193" w14:textId="77777777" w:rsidR="00BA4B0D" w:rsidRDefault="00BA4B0D" w:rsidP="00091DF2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2047" w:type="dxa"/>
            <w:vAlign w:val="center"/>
          </w:tcPr>
          <w:p w14:paraId="54DC0A1D" w14:textId="77777777" w:rsidR="00BA4B0D" w:rsidRDefault="00BA4B0D" w:rsidP="00091D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10,210 (42.6)</w:t>
            </w:r>
          </w:p>
        </w:tc>
        <w:tc>
          <w:tcPr>
            <w:tcW w:w="2192" w:type="dxa"/>
            <w:vAlign w:val="center"/>
          </w:tcPr>
          <w:p w14:paraId="187CE22A" w14:textId="77777777" w:rsidR="00BA4B0D" w:rsidRDefault="00BA4B0D" w:rsidP="00091D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1,629 (33.1)</w:t>
            </w:r>
          </w:p>
        </w:tc>
        <w:tc>
          <w:tcPr>
            <w:tcW w:w="2128" w:type="dxa"/>
            <w:vAlign w:val="center"/>
          </w:tcPr>
          <w:p w14:paraId="09FD20C1" w14:textId="77777777" w:rsidR="00BA4B0D" w:rsidRDefault="00BA4B0D" w:rsidP="00091D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0.0</w:t>
            </w:r>
            <w:r w:rsidR="00C9751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4B0D" w14:paraId="64FB8334" w14:textId="77777777" w:rsidTr="00BE50EE">
        <w:trPr>
          <w:jc w:val="center"/>
        </w:trPr>
        <w:tc>
          <w:tcPr>
            <w:tcW w:w="3029" w:type="dxa"/>
            <w:vAlign w:val="center"/>
          </w:tcPr>
          <w:p w14:paraId="408206C9" w14:textId="77777777" w:rsidR="00BA4B0D" w:rsidRDefault="00BA4B0D" w:rsidP="00091DF2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Immigrant</w:t>
            </w:r>
          </w:p>
        </w:tc>
        <w:tc>
          <w:tcPr>
            <w:tcW w:w="2047" w:type="dxa"/>
            <w:vAlign w:val="center"/>
          </w:tcPr>
          <w:p w14:paraId="574B1CF8" w14:textId="77777777" w:rsidR="00BA4B0D" w:rsidRDefault="00BA4B0D" w:rsidP="00091D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1,484 (6.2)</w:t>
            </w:r>
          </w:p>
        </w:tc>
        <w:tc>
          <w:tcPr>
            <w:tcW w:w="2192" w:type="dxa"/>
            <w:vAlign w:val="center"/>
          </w:tcPr>
          <w:p w14:paraId="77A328A9" w14:textId="77777777" w:rsidR="00BA4B0D" w:rsidRDefault="00BA4B0D" w:rsidP="00091D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 (6.9)</w:t>
            </w:r>
          </w:p>
        </w:tc>
        <w:tc>
          <w:tcPr>
            <w:tcW w:w="2128" w:type="dxa"/>
            <w:vAlign w:val="center"/>
          </w:tcPr>
          <w:p w14:paraId="495BE20A" w14:textId="77777777" w:rsidR="00BA4B0D" w:rsidRDefault="00BA4B0D" w:rsidP="00091D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  <w:r w:rsidR="00C9751E">
              <w:rPr>
                <w:rFonts w:ascii="Times New Roman" w:hAnsi="Times New Roman" w:cs="Times New Roman"/>
              </w:rPr>
              <w:t>2</w:t>
            </w:r>
          </w:p>
        </w:tc>
      </w:tr>
      <w:tr w:rsidR="00BA4B0D" w14:paraId="1C139A61" w14:textId="77777777" w:rsidTr="00BE50EE">
        <w:trPr>
          <w:jc w:val="center"/>
        </w:trPr>
        <w:tc>
          <w:tcPr>
            <w:tcW w:w="3029" w:type="dxa"/>
            <w:vAlign w:val="center"/>
          </w:tcPr>
          <w:p w14:paraId="1FE55F79" w14:textId="77777777" w:rsidR="00BA4B0D" w:rsidRPr="00BA4B0D" w:rsidRDefault="00BA4B0D" w:rsidP="00091DF2">
            <w:pPr>
              <w:spacing w:before="120" w:after="12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BA4B0D">
              <w:rPr>
                <w:rFonts w:ascii="Times New Roman" w:hAnsi="Times New Roman" w:cs="Times New Roman"/>
                <w:lang w:val="en-US"/>
              </w:rPr>
              <w:t>At least 1 missing observation of EA</w:t>
            </w:r>
          </w:p>
        </w:tc>
        <w:tc>
          <w:tcPr>
            <w:tcW w:w="2047" w:type="dxa"/>
            <w:vAlign w:val="center"/>
          </w:tcPr>
          <w:p w14:paraId="3D8C68EB" w14:textId="77777777" w:rsidR="00BA4B0D" w:rsidRDefault="00BA4B0D" w:rsidP="00091D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1,178 (4.9)</w:t>
            </w:r>
          </w:p>
        </w:tc>
        <w:tc>
          <w:tcPr>
            <w:tcW w:w="2192" w:type="dxa"/>
            <w:vAlign w:val="center"/>
          </w:tcPr>
          <w:p w14:paraId="4EA1CF8B" w14:textId="77777777" w:rsidR="00BA4B0D" w:rsidRDefault="00BA4B0D" w:rsidP="00091D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 (5.0)</w:t>
            </w:r>
          </w:p>
        </w:tc>
        <w:tc>
          <w:tcPr>
            <w:tcW w:w="2128" w:type="dxa"/>
            <w:vAlign w:val="center"/>
          </w:tcPr>
          <w:p w14:paraId="30A3EEF9" w14:textId="77777777" w:rsidR="00BA4B0D" w:rsidRDefault="00C9751E" w:rsidP="00091D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0.917</w:t>
            </w:r>
          </w:p>
        </w:tc>
      </w:tr>
      <w:tr w:rsidR="00BA4B0D" w14:paraId="2D5B65A1" w14:textId="77777777" w:rsidTr="00BE50EE">
        <w:trPr>
          <w:jc w:val="center"/>
        </w:trPr>
        <w:tc>
          <w:tcPr>
            <w:tcW w:w="3029" w:type="dxa"/>
            <w:vAlign w:val="center"/>
          </w:tcPr>
          <w:p w14:paraId="37163F80" w14:textId="77777777" w:rsidR="00BA4B0D" w:rsidRDefault="00BA4B0D" w:rsidP="00091DF2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Deceased</w:t>
            </w:r>
          </w:p>
        </w:tc>
        <w:tc>
          <w:tcPr>
            <w:tcW w:w="2047" w:type="dxa"/>
            <w:vAlign w:val="center"/>
          </w:tcPr>
          <w:p w14:paraId="6B8ED72E" w14:textId="77777777" w:rsidR="00BA4B0D" w:rsidRDefault="00BA4B0D" w:rsidP="00091D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 (1.1)</w:t>
            </w:r>
          </w:p>
        </w:tc>
        <w:tc>
          <w:tcPr>
            <w:tcW w:w="2192" w:type="dxa"/>
            <w:vAlign w:val="center"/>
          </w:tcPr>
          <w:p w14:paraId="61E1FD10" w14:textId="77777777" w:rsidR="00BA4B0D" w:rsidRDefault="00BA4B0D" w:rsidP="00091D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(0.8)</w:t>
            </w:r>
          </w:p>
        </w:tc>
        <w:tc>
          <w:tcPr>
            <w:tcW w:w="2128" w:type="dxa"/>
            <w:vAlign w:val="center"/>
          </w:tcPr>
          <w:p w14:paraId="35B64AAB" w14:textId="77777777" w:rsidR="00BA4B0D" w:rsidRDefault="00C9751E" w:rsidP="00091D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0.059</w:t>
            </w:r>
          </w:p>
        </w:tc>
      </w:tr>
      <w:tr w:rsidR="00BA4B0D" w14:paraId="653476AD" w14:textId="77777777" w:rsidTr="00BE50EE">
        <w:trPr>
          <w:jc w:val="center"/>
        </w:trPr>
        <w:tc>
          <w:tcPr>
            <w:tcW w:w="3029" w:type="dxa"/>
            <w:vAlign w:val="center"/>
          </w:tcPr>
          <w:p w14:paraId="26568D5C" w14:textId="77777777" w:rsidR="00BA4B0D" w:rsidRDefault="00BA4B0D" w:rsidP="00091DF2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Diagnosis of developmental disorder</w:t>
            </w:r>
          </w:p>
        </w:tc>
        <w:tc>
          <w:tcPr>
            <w:tcW w:w="2047" w:type="dxa"/>
            <w:vAlign w:val="center"/>
          </w:tcPr>
          <w:p w14:paraId="6179BAEB" w14:textId="77777777" w:rsidR="00BA4B0D" w:rsidRDefault="00BA4B0D" w:rsidP="00091D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4,463 (18.6)</w:t>
            </w:r>
          </w:p>
        </w:tc>
        <w:tc>
          <w:tcPr>
            <w:tcW w:w="2192" w:type="dxa"/>
            <w:vAlign w:val="center"/>
          </w:tcPr>
          <w:p w14:paraId="1604A191" w14:textId="77777777" w:rsidR="00BA4B0D" w:rsidRDefault="00BA4B0D" w:rsidP="00091D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 (18.6)</w:t>
            </w:r>
          </w:p>
        </w:tc>
        <w:tc>
          <w:tcPr>
            <w:tcW w:w="2128" w:type="dxa"/>
            <w:vAlign w:val="center"/>
          </w:tcPr>
          <w:p w14:paraId="4AB6E322" w14:textId="77777777" w:rsidR="00BA4B0D" w:rsidRDefault="00C9751E" w:rsidP="00091D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&gt;0.999</w:t>
            </w:r>
          </w:p>
        </w:tc>
      </w:tr>
      <w:tr w:rsidR="00BA4B0D" w14:paraId="64565E86" w14:textId="77777777" w:rsidTr="00BE50EE">
        <w:trPr>
          <w:jc w:val="center"/>
        </w:trPr>
        <w:tc>
          <w:tcPr>
            <w:tcW w:w="3029" w:type="dxa"/>
            <w:vAlign w:val="center"/>
          </w:tcPr>
          <w:p w14:paraId="28B9B732" w14:textId="77777777" w:rsidR="00BA4B0D" w:rsidRDefault="00BA4B0D" w:rsidP="00091DF2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Diagnosis of intellectual disability</w:t>
            </w:r>
          </w:p>
        </w:tc>
        <w:tc>
          <w:tcPr>
            <w:tcW w:w="2047" w:type="dxa"/>
            <w:vAlign w:val="center"/>
          </w:tcPr>
          <w:p w14:paraId="77B5C5AA" w14:textId="77777777" w:rsidR="00BA4B0D" w:rsidRDefault="00BA4B0D" w:rsidP="00091D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 (2.4)</w:t>
            </w:r>
          </w:p>
        </w:tc>
        <w:tc>
          <w:tcPr>
            <w:tcW w:w="2192" w:type="dxa"/>
            <w:vAlign w:val="center"/>
          </w:tcPr>
          <w:p w14:paraId="136CF60F" w14:textId="77777777" w:rsidR="00BA4B0D" w:rsidRDefault="00BA4B0D" w:rsidP="00091D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 (2.8)</w:t>
            </w:r>
          </w:p>
        </w:tc>
        <w:tc>
          <w:tcPr>
            <w:tcW w:w="2128" w:type="dxa"/>
            <w:vAlign w:val="center"/>
          </w:tcPr>
          <w:p w14:paraId="5628551F" w14:textId="77777777" w:rsidR="00BA4B0D" w:rsidRDefault="00BA4B0D" w:rsidP="00091D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  <w:r w:rsidR="00C9751E">
              <w:rPr>
                <w:rFonts w:ascii="Times New Roman" w:hAnsi="Times New Roman" w:cs="Times New Roman"/>
              </w:rPr>
              <w:t>2</w:t>
            </w:r>
          </w:p>
        </w:tc>
      </w:tr>
      <w:tr w:rsidR="00BA4B0D" w:rsidRPr="007939B8" w14:paraId="6F1CD7D9" w14:textId="77777777" w:rsidTr="00BE50EE">
        <w:trPr>
          <w:jc w:val="center"/>
        </w:trPr>
        <w:tc>
          <w:tcPr>
            <w:tcW w:w="9396" w:type="dxa"/>
            <w:gridSpan w:val="4"/>
            <w:vAlign w:val="center"/>
          </w:tcPr>
          <w:p w14:paraId="607539D5" w14:textId="77777777" w:rsidR="00BA4B0D" w:rsidRPr="00BA4B0D" w:rsidRDefault="00BA4B0D" w:rsidP="00091DF2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BA4B0D">
              <w:rPr>
                <w:rFonts w:ascii="Times New Roman" w:hAnsi="Times New Roman" w:cs="Times New Roman"/>
                <w:lang w:val="en-US"/>
              </w:rPr>
              <w:t xml:space="preserve">N (%). </w:t>
            </w:r>
            <w:r w:rsidR="00975C51">
              <w:rPr>
                <w:rFonts w:ascii="Times New Roman" w:hAnsi="Times New Roman" w:cs="Times New Roman"/>
                <w:lang w:val="en-US"/>
              </w:rPr>
              <w:t>Treatment</w:t>
            </w:r>
            <w:r w:rsidRPr="00BA4B0D">
              <w:rPr>
                <w:rFonts w:ascii="Times New Roman" w:hAnsi="Times New Roman" w:cs="Times New Roman"/>
                <w:lang w:val="en-US"/>
              </w:rPr>
              <w:t xml:space="preserve"> status determined </w:t>
            </w:r>
            <w:r w:rsidR="00643C84">
              <w:rPr>
                <w:rFonts w:ascii="Times New Roman" w:hAnsi="Times New Roman" w:cs="Times New Roman"/>
                <w:lang w:val="en-US"/>
              </w:rPr>
              <w:t>by a dispensation of a</w:t>
            </w:r>
            <w:r w:rsidR="002F105B">
              <w:rPr>
                <w:rFonts w:ascii="Times New Roman" w:hAnsi="Times New Roman" w:cs="Times New Roman"/>
                <w:lang w:val="en-US"/>
              </w:rPr>
              <w:t xml:space="preserve"> medication for ADHD</w:t>
            </w:r>
            <w:r w:rsidR="00E54CC2">
              <w:rPr>
                <w:rFonts w:ascii="Times New Roman" w:hAnsi="Times New Roman" w:cs="Times New Roman"/>
                <w:lang w:val="en-US"/>
              </w:rPr>
              <w:t xml:space="preserve"> (ever versus never)</w:t>
            </w:r>
            <w:r w:rsidR="002F105B">
              <w:rPr>
                <w:rFonts w:ascii="Times New Roman" w:hAnsi="Times New Roman" w:cs="Times New Roman"/>
                <w:lang w:val="en-US"/>
              </w:rPr>
              <w:t xml:space="preserve"> in</w:t>
            </w:r>
            <w:r w:rsidRPr="00BA4B0D">
              <w:rPr>
                <w:rFonts w:ascii="Times New Roman" w:hAnsi="Times New Roman" w:cs="Times New Roman"/>
                <w:lang w:val="en-US"/>
              </w:rPr>
              <w:t xml:space="preserve"> the </w:t>
            </w:r>
            <w:r w:rsidR="00975C51">
              <w:rPr>
                <w:rFonts w:ascii="Times New Roman" w:hAnsi="Times New Roman" w:cs="Times New Roman"/>
                <w:lang w:val="en-US"/>
              </w:rPr>
              <w:t>Swedish Prescribed Drug R</w:t>
            </w:r>
            <w:r w:rsidRPr="00BA4B0D">
              <w:rPr>
                <w:rFonts w:ascii="Times New Roman" w:hAnsi="Times New Roman" w:cs="Times New Roman"/>
                <w:lang w:val="en-US"/>
              </w:rPr>
              <w:t>egister.</w:t>
            </w:r>
          </w:p>
          <w:p w14:paraId="0C388396" w14:textId="77777777" w:rsidR="00BA4B0D" w:rsidRPr="00BA4B0D" w:rsidRDefault="00BA4B0D" w:rsidP="00091DF2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BA4B0D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  <w:r w:rsidRPr="00BA4B0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C2D23">
              <w:rPr>
                <w:rFonts w:ascii="Times New Roman" w:hAnsi="Times New Roman" w:cs="Times New Roman"/>
                <w:lang w:val="en-US"/>
              </w:rPr>
              <w:t>P-value calculated based on Pearson’s chi-squared test of counts in each variable (e.g., female sex) over ADHD</w:t>
            </w:r>
            <w:r w:rsidRPr="00BA4B0D">
              <w:rPr>
                <w:rFonts w:ascii="Times New Roman" w:hAnsi="Times New Roman" w:cs="Times New Roman"/>
                <w:lang w:val="en-US"/>
              </w:rPr>
              <w:t xml:space="preserve"> medication</w:t>
            </w:r>
            <w:r w:rsidRPr="003C2D23">
              <w:rPr>
                <w:rFonts w:ascii="Times New Roman" w:hAnsi="Times New Roman" w:cs="Times New Roman"/>
                <w:lang w:val="en-US"/>
              </w:rPr>
              <w:t xml:space="preserve"> status.</w:t>
            </w:r>
          </w:p>
        </w:tc>
      </w:tr>
    </w:tbl>
    <w:p w14:paraId="40918F2D" w14:textId="77777777" w:rsidR="00275983" w:rsidRDefault="00275983">
      <w:pPr>
        <w:spacing w:after="160" w:line="259" w:lineRule="auto"/>
        <w:rPr>
          <w:b/>
          <w:iCs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br w:type="page"/>
      </w:r>
    </w:p>
    <w:p w14:paraId="2B2E8831" w14:textId="77777777" w:rsidR="00275983" w:rsidRDefault="00275983" w:rsidP="000E298B">
      <w:pPr>
        <w:pStyle w:val="Caption"/>
        <w:keepNext/>
        <w:rPr>
          <w:b/>
          <w:i w:val="0"/>
          <w:color w:val="auto"/>
          <w:sz w:val="24"/>
          <w:szCs w:val="24"/>
          <w:lang w:val="en-US"/>
        </w:rPr>
        <w:sectPr w:rsidR="00275983" w:rsidSect="00275983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332B8749" w14:textId="77777777" w:rsidR="000E298B" w:rsidRPr="00262178" w:rsidRDefault="000E298B" w:rsidP="000E298B">
      <w:pPr>
        <w:pStyle w:val="Caption"/>
        <w:keepNext/>
        <w:rPr>
          <w:b/>
          <w:i w:val="0"/>
          <w:color w:val="auto"/>
          <w:sz w:val="24"/>
          <w:szCs w:val="24"/>
          <w:lang w:val="en-US"/>
        </w:rPr>
      </w:pPr>
      <w:r w:rsidRPr="00262178">
        <w:rPr>
          <w:b/>
          <w:i w:val="0"/>
          <w:color w:val="auto"/>
          <w:sz w:val="24"/>
          <w:szCs w:val="24"/>
          <w:lang w:val="en-US"/>
        </w:rPr>
        <w:lastRenderedPageBreak/>
        <w:t xml:space="preserve">Table </w:t>
      </w:r>
      <w:r w:rsidRPr="00262178">
        <w:rPr>
          <w:b/>
          <w:i w:val="0"/>
          <w:color w:val="auto"/>
          <w:sz w:val="24"/>
          <w:szCs w:val="24"/>
        </w:rPr>
        <w:fldChar w:fldCharType="begin"/>
      </w:r>
      <w:r w:rsidRPr="00262178">
        <w:rPr>
          <w:b/>
          <w:i w:val="0"/>
          <w:color w:val="auto"/>
          <w:sz w:val="24"/>
          <w:szCs w:val="24"/>
          <w:lang w:val="en-US"/>
        </w:rPr>
        <w:instrText xml:space="preserve"> SEQ Table \* ARABIC </w:instrText>
      </w:r>
      <w:r w:rsidRPr="00262178">
        <w:rPr>
          <w:b/>
          <w:i w:val="0"/>
          <w:color w:val="auto"/>
          <w:sz w:val="24"/>
          <w:szCs w:val="24"/>
        </w:rPr>
        <w:fldChar w:fldCharType="separate"/>
      </w:r>
      <w:r w:rsidRPr="00262178">
        <w:rPr>
          <w:b/>
          <w:i w:val="0"/>
          <w:noProof/>
          <w:color w:val="auto"/>
          <w:sz w:val="24"/>
          <w:szCs w:val="24"/>
          <w:lang w:val="en-US"/>
        </w:rPr>
        <w:t>2</w:t>
      </w:r>
      <w:r w:rsidRPr="00262178">
        <w:rPr>
          <w:b/>
          <w:i w:val="0"/>
          <w:color w:val="auto"/>
          <w:sz w:val="24"/>
          <w:szCs w:val="24"/>
        </w:rPr>
        <w:fldChar w:fldCharType="end"/>
      </w:r>
      <w:r>
        <w:rPr>
          <w:b/>
          <w:i w:val="0"/>
          <w:color w:val="auto"/>
          <w:sz w:val="24"/>
          <w:szCs w:val="24"/>
          <w:lang w:val="en-US"/>
        </w:rPr>
        <w:t>. Asso</w:t>
      </w:r>
      <w:r w:rsidR="00971729">
        <w:rPr>
          <w:b/>
          <w:i w:val="0"/>
          <w:color w:val="auto"/>
          <w:sz w:val="24"/>
          <w:szCs w:val="24"/>
          <w:lang w:val="en-US"/>
        </w:rPr>
        <w:t>ciations between ADHD medication treatment status</w:t>
      </w:r>
      <w:r w:rsidRPr="00262178">
        <w:rPr>
          <w:b/>
          <w:i w:val="0"/>
          <w:color w:val="auto"/>
          <w:sz w:val="24"/>
          <w:szCs w:val="24"/>
          <w:lang w:val="en-US"/>
        </w:rPr>
        <w:t xml:space="preserve"> and occupational outcomes, and the influence of comorbid intellectual disability/developmental disorders and lifetime educational attainment</w:t>
      </w:r>
    </w:p>
    <w:tbl>
      <w:tblPr>
        <w:tblW w:w="11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840"/>
        <w:gridCol w:w="70"/>
        <w:gridCol w:w="910"/>
        <w:gridCol w:w="980"/>
        <w:gridCol w:w="981"/>
        <w:gridCol w:w="1260"/>
        <w:gridCol w:w="48"/>
        <w:gridCol w:w="1309"/>
        <w:gridCol w:w="1843"/>
        <w:gridCol w:w="2120"/>
      </w:tblGrid>
      <w:tr w:rsidR="000E298B" w:rsidRPr="00262178" w14:paraId="004F9C43" w14:textId="77777777" w:rsidTr="00091DF2">
        <w:trPr>
          <w:trHeight w:val="336"/>
          <w:jc w:val="center"/>
        </w:trPr>
        <w:tc>
          <w:tcPr>
            <w:tcW w:w="1541" w:type="dxa"/>
            <w:vAlign w:val="center"/>
          </w:tcPr>
          <w:p w14:paraId="27F1B9F0" w14:textId="77777777" w:rsidR="000E298B" w:rsidRPr="007133D5" w:rsidRDefault="000E298B" w:rsidP="00091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81" w:type="dxa"/>
            <w:gridSpan w:val="5"/>
            <w:tcBorders>
              <w:right w:val="single" w:sz="4" w:space="0" w:color="auto"/>
            </w:tcBorders>
            <w:vAlign w:val="center"/>
          </w:tcPr>
          <w:p w14:paraId="7F76EB6C" w14:textId="77777777" w:rsidR="000E298B" w:rsidRPr="00700AC5" w:rsidRDefault="000E298B" w:rsidP="00091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00AC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Observed occupational outcome</w:t>
            </w:r>
          </w:p>
        </w:tc>
        <w:tc>
          <w:tcPr>
            <w:tcW w:w="6580" w:type="dxa"/>
            <w:gridSpan w:val="5"/>
            <w:tcBorders>
              <w:left w:val="single" w:sz="4" w:space="0" w:color="auto"/>
            </w:tcBorders>
            <w:vAlign w:val="center"/>
          </w:tcPr>
          <w:p w14:paraId="10329A21" w14:textId="77777777" w:rsidR="000E298B" w:rsidRPr="00700AC5" w:rsidRDefault="000E298B" w:rsidP="00091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00AC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Model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ed</w:t>
            </w:r>
          </w:p>
        </w:tc>
      </w:tr>
      <w:tr w:rsidR="000E298B" w14:paraId="63FD3A9F" w14:textId="77777777" w:rsidTr="00091DF2">
        <w:trPr>
          <w:trHeight w:val="273"/>
          <w:jc w:val="center"/>
        </w:trPr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14:paraId="092A79A1" w14:textId="77777777" w:rsidR="000E298B" w:rsidRPr="007133D5" w:rsidRDefault="000E298B" w:rsidP="00091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81" w:type="dxa"/>
            <w:gridSpan w:val="5"/>
            <w:tcBorders>
              <w:right w:val="single" w:sz="4" w:space="0" w:color="auto"/>
            </w:tcBorders>
            <w:vAlign w:val="center"/>
          </w:tcPr>
          <w:p w14:paraId="3D88CD50" w14:textId="77777777" w:rsidR="000E298B" w:rsidRDefault="000E298B" w:rsidP="0009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 after compulsory school graduation</w:t>
            </w:r>
          </w:p>
        </w:tc>
        <w:tc>
          <w:tcPr>
            <w:tcW w:w="6580" w:type="dxa"/>
            <w:gridSpan w:val="5"/>
            <w:tcBorders>
              <w:left w:val="single" w:sz="4" w:space="0" w:color="auto"/>
            </w:tcBorders>
            <w:vAlign w:val="center"/>
          </w:tcPr>
          <w:p w14:paraId="44394447" w14:textId="77777777" w:rsidR="000E298B" w:rsidRPr="007133D5" w:rsidRDefault="000E298B" w:rsidP="0009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Covariate sets adjusted for</w:t>
            </w:r>
          </w:p>
        </w:tc>
      </w:tr>
      <w:tr w:rsidR="000E298B" w:rsidRPr="007939B8" w14:paraId="691CD3C1" w14:textId="77777777" w:rsidTr="00091DF2">
        <w:trPr>
          <w:trHeight w:val="503"/>
          <w:jc w:val="center"/>
        </w:trPr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14:paraId="04BED602" w14:textId="77777777" w:rsidR="000E298B" w:rsidRPr="007133D5" w:rsidRDefault="000E298B" w:rsidP="00091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0" w:type="dxa"/>
            <w:gridSpan w:val="2"/>
            <w:tcBorders>
              <w:right w:val="single" w:sz="4" w:space="0" w:color="auto"/>
            </w:tcBorders>
            <w:vAlign w:val="center"/>
          </w:tcPr>
          <w:p w14:paraId="2824C1F3" w14:textId="77777777" w:rsidR="000E298B" w:rsidRDefault="000E298B" w:rsidP="0009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14:paraId="25315C19" w14:textId="77777777" w:rsidR="000E298B" w:rsidRDefault="000E298B" w:rsidP="0009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6F63B" w14:textId="77777777" w:rsidR="000E298B" w:rsidRDefault="000E298B" w:rsidP="0009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13CC1" w14:textId="77777777" w:rsidR="000E298B" w:rsidRDefault="000E298B" w:rsidP="0009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493C0" w14:textId="77777777" w:rsidR="000E298B" w:rsidRPr="007133D5" w:rsidRDefault="000E298B" w:rsidP="0009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Cohort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50C36" w14:textId="77777777" w:rsidR="000E298B" w:rsidRPr="007133D5" w:rsidRDefault="000E298B" w:rsidP="0009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Demographic and mediation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236D5" w14:textId="77777777" w:rsidR="000E298B" w:rsidRDefault="000E298B" w:rsidP="0009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Demographic, mediation, and comorbid ID/DD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E3A3C" w14:textId="77777777" w:rsidR="000E298B" w:rsidRPr="007133D5" w:rsidRDefault="000E298B" w:rsidP="0009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Demographic, mediation, and lifetime EA</w:t>
            </w:r>
          </w:p>
        </w:tc>
      </w:tr>
      <w:tr w:rsidR="000E298B" w14:paraId="03D9A44E" w14:textId="77777777" w:rsidTr="00091DF2">
        <w:trPr>
          <w:trHeight w:val="503"/>
          <w:jc w:val="center"/>
        </w:trPr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14:paraId="11F489A7" w14:textId="77777777" w:rsidR="000E298B" w:rsidRPr="007133D5" w:rsidRDefault="000E298B" w:rsidP="00091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20" w:type="dxa"/>
            <w:gridSpan w:val="3"/>
            <w:tcBorders>
              <w:right w:val="single" w:sz="4" w:space="0" w:color="auto"/>
            </w:tcBorders>
            <w:vAlign w:val="center"/>
          </w:tcPr>
          <w:p w14:paraId="6D518CC7" w14:textId="77777777" w:rsidR="000E298B" w:rsidRPr="00236CC7" w:rsidRDefault="000E298B" w:rsidP="00091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Treated</w:t>
            </w:r>
          </w:p>
        </w:tc>
        <w:tc>
          <w:tcPr>
            <w:tcW w:w="19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2A893" w14:textId="77777777" w:rsidR="000E298B" w:rsidRPr="00236CC7" w:rsidRDefault="000E298B" w:rsidP="00091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Untreated</w:t>
            </w:r>
          </w:p>
        </w:tc>
        <w:tc>
          <w:tcPr>
            <w:tcW w:w="65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9FA06" w14:textId="77777777" w:rsidR="000E298B" w:rsidRPr="00236CC7" w:rsidRDefault="007939B8" w:rsidP="00091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Treated </w:t>
            </w:r>
            <w:r w:rsidR="000E298B" w:rsidRPr="00236CC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ADHD</w:t>
            </w:r>
          </w:p>
        </w:tc>
      </w:tr>
      <w:tr w:rsidR="000E298B" w14:paraId="5B21CDD0" w14:textId="77777777" w:rsidTr="00091DF2">
        <w:trPr>
          <w:trHeight w:val="377"/>
          <w:jc w:val="center"/>
        </w:trPr>
        <w:tc>
          <w:tcPr>
            <w:tcW w:w="1541" w:type="dxa"/>
            <w:tcBorders>
              <w:right w:val="nil"/>
            </w:tcBorders>
            <w:vAlign w:val="center"/>
          </w:tcPr>
          <w:p w14:paraId="4F80FBEF" w14:textId="77777777" w:rsidR="000E298B" w:rsidRPr="007133D5" w:rsidRDefault="000E298B" w:rsidP="00091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81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224DD120" w14:textId="77777777" w:rsidR="000E298B" w:rsidRPr="00551531" w:rsidRDefault="000E298B" w:rsidP="00091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5153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Mean EURO (SD)</w:t>
            </w:r>
          </w:p>
        </w:tc>
        <w:tc>
          <w:tcPr>
            <w:tcW w:w="6580" w:type="dxa"/>
            <w:gridSpan w:val="5"/>
            <w:tcBorders>
              <w:left w:val="single" w:sz="4" w:space="0" w:color="auto"/>
            </w:tcBorders>
            <w:vAlign w:val="center"/>
          </w:tcPr>
          <w:p w14:paraId="1E5C6F2D" w14:textId="77777777" w:rsidR="000E298B" w:rsidRPr="00CB04D6" w:rsidRDefault="000E298B" w:rsidP="00091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B04D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Income ratio, exp(β)</w:t>
            </w:r>
          </w:p>
        </w:tc>
      </w:tr>
      <w:tr w:rsidR="000E298B" w:rsidRPr="008F1CE5" w14:paraId="66EFD3D6" w14:textId="77777777" w:rsidTr="00091DF2">
        <w:trPr>
          <w:trHeight w:val="648"/>
          <w:jc w:val="center"/>
        </w:trPr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14:paraId="3AE194CE" w14:textId="77777777" w:rsidR="000E298B" w:rsidRPr="00057FA7" w:rsidRDefault="000E298B" w:rsidP="00091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Income</w:t>
            </w:r>
          </w:p>
        </w:tc>
        <w:tc>
          <w:tcPr>
            <w:tcW w:w="840" w:type="dxa"/>
            <w:vAlign w:val="center"/>
          </w:tcPr>
          <w:p w14:paraId="7B16806B" w14:textId="77777777" w:rsidR="000E298B" w:rsidRPr="007133D5" w:rsidRDefault="00C868CA" w:rsidP="000722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853.7</w:t>
            </w:r>
            <w:r w:rsidR="000722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(1356</w:t>
            </w:r>
            <w:r w:rsidR="000E29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0722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0E298B" w:rsidRPr="007133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  <w:vAlign w:val="center"/>
          </w:tcPr>
          <w:p w14:paraId="2949840E" w14:textId="77777777" w:rsidR="000E298B" w:rsidRPr="007133D5" w:rsidRDefault="00FB23FE" w:rsidP="0009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15,817</w:t>
            </w:r>
            <w:r w:rsidR="004148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.3 (8,905.0</w:t>
            </w:r>
            <w:r w:rsidR="000E298B" w:rsidRPr="007133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center"/>
          </w:tcPr>
          <w:p w14:paraId="045BD83E" w14:textId="77777777" w:rsidR="000E298B" w:rsidRPr="007133D5" w:rsidRDefault="00C868CA" w:rsidP="0009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881.6</w:t>
            </w:r>
            <w:r w:rsidR="009C53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(1,459.4</w:t>
            </w:r>
            <w:r w:rsidR="000E298B" w:rsidRPr="007133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14:paraId="52837D1E" w14:textId="77777777" w:rsidR="000E298B" w:rsidRPr="007133D5" w:rsidRDefault="00FB23FE" w:rsidP="0009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16,027.7</w:t>
            </w:r>
            <w:r w:rsidR="00AD35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(8,482.0</w:t>
            </w:r>
            <w:r w:rsidR="000E298B" w:rsidRPr="007133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3C363" w14:textId="77777777" w:rsidR="000E298B" w:rsidRDefault="00B609A1" w:rsidP="0009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0.98</w:t>
            </w:r>
          </w:p>
          <w:p w14:paraId="234B7E7D" w14:textId="77777777" w:rsidR="000E298B" w:rsidRPr="007133D5" w:rsidRDefault="00B609A1" w:rsidP="0009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(0.96, 0.99</w:t>
            </w:r>
            <w:r w:rsidR="000E29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04CDD" w14:textId="77777777" w:rsidR="000E298B" w:rsidRDefault="00C06509" w:rsidP="0009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0.97</w:t>
            </w:r>
          </w:p>
          <w:p w14:paraId="17D190C1" w14:textId="77777777" w:rsidR="000E298B" w:rsidRPr="007133D5" w:rsidRDefault="00C06509" w:rsidP="0009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(0.95, 0.98</w:t>
            </w:r>
            <w:r w:rsidR="000E29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B071D" w14:textId="77777777" w:rsidR="000E298B" w:rsidRDefault="002F2174" w:rsidP="0009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0.97</w:t>
            </w:r>
          </w:p>
          <w:p w14:paraId="053CDCEC" w14:textId="77777777" w:rsidR="000E298B" w:rsidRPr="007133D5" w:rsidRDefault="002F2174" w:rsidP="0009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(0.95, 0.98</w:t>
            </w:r>
            <w:r w:rsidR="000E29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4071B" w14:textId="77777777" w:rsidR="000E298B" w:rsidRDefault="00AB7589" w:rsidP="0009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0.97</w:t>
            </w:r>
          </w:p>
          <w:p w14:paraId="4EC14138" w14:textId="77777777" w:rsidR="000E298B" w:rsidRPr="007133D5" w:rsidRDefault="00AB7589" w:rsidP="0009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(0.95, 0.98</w:t>
            </w:r>
            <w:r w:rsidR="000E29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  <w:tr w:rsidR="000E298B" w:rsidRPr="008F1CE5" w14:paraId="0723B710" w14:textId="77777777" w:rsidTr="00091DF2">
        <w:trPr>
          <w:trHeight w:val="335"/>
          <w:jc w:val="center"/>
        </w:trPr>
        <w:tc>
          <w:tcPr>
            <w:tcW w:w="1541" w:type="dxa"/>
            <w:tcBorders>
              <w:right w:val="nil"/>
            </w:tcBorders>
            <w:vAlign w:val="center"/>
          </w:tcPr>
          <w:p w14:paraId="199EB86C" w14:textId="77777777" w:rsidR="000E298B" w:rsidRPr="007133D5" w:rsidRDefault="000E298B" w:rsidP="00091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81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7915CE7D" w14:textId="77777777" w:rsidR="000E298B" w:rsidRPr="00551531" w:rsidRDefault="000E298B" w:rsidP="0009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5153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Mean days (SD)</w:t>
            </w:r>
          </w:p>
        </w:tc>
        <w:tc>
          <w:tcPr>
            <w:tcW w:w="6580" w:type="dxa"/>
            <w:gridSpan w:val="5"/>
            <w:tcBorders>
              <w:left w:val="single" w:sz="4" w:space="0" w:color="auto"/>
            </w:tcBorders>
            <w:vAlign w:val="center"/>
          </w:tcPr>
          <w:p w14:paraId="549F87A5" w14:textId="77777777" w:rsidR="000E298B" w:rsidRPr="00CB04D6" w:rsidRDefault="000E298B" w:rsidP="0009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Unemployment days</w:t>
            </w:r>
            <w:r w:rsidRPr="00CB04D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, β</w:t>
            </w:r>
          </w:p>
        </w:tc>
      </w:tr>
      <w:tr w:rsidR="000E298B" w:rsidRPr="00C46AE9" w14:paraId="14183258" w14:textId="77777777" w:rsidTr="00091DF2">
        <w:trPr>
          <w:trHeight w:val="702"/>
          <w:jc w:val="center"/>
        </w:trPr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14:paraId="0032866E" w14:textId="77777777" w:rsidR="000E298B" w:rsidRPr="00057FA7" w:rsidRDefault="000E298B" w:rsidP="00091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57F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Unemployment</w:t>
            </w:r>
          </w:p>
        </w:tc>
        <w:tc>
          <w:tcPr>
            <w:tcW w:w="840" w:type="dxa"/>
            <w:vAlign w:val="center"/>
          </w:tcPr>
          <w:p w14:paraId="2D5BE47B" w14:textId="77777777" w:rsidR="000E298B" w:rsidRDefault="000E298B" w:rsidP="0009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133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14:paraId="39591734" w14:textId="77777777" w:rsidR="000E298B" w:rsidRPr="007133D5" w:rsidRDefault="0042559B" w:rsidP="0009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(3.4</w:t>
            </w:r>
            <w:r w:rsidR="000E298B" w:rsidRPr="007133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  <w:vAlign w:val="center"/>
          </w:tcPr>
          <w:p w14:paraId="29DC09EC" w14:textId="77777777" w:rsidR="000E298B" w:rsidRPr="007133D5" w:rsidRDefault="000E298B" w:rsidP="0009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133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240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8.0</w:t>
            </w:r>
            <w:r w:rsidR="004255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(69.8</w:t>
            </w:r>
            <w:r w:rsidRPr="007133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center"/>
          </w:tcPr>
          <w:p w14:paraId="79756904" w14:textId="77777777" w:rsidR="000E298B" w:rsidRDefault="00240ECD" w:rsidP="0009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</w:t>
            </w:r>
          </w:p>
          <w:p w14:paraId="284AA6D4" w14:textId="77777777" w:rsidR="000E298B" w:rsidRPr="007133D5" w:rsidRDefault="00427107" w:rsidP="0009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(4.0</w:t>
            </w:r>
            <w:r w:rsidR="000E298B" w:rsidRPr="007133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14:paraId="52EEEDE7" w14:textId="77777777" w:rsidR="000E298B" w:rsidRPr="007133D5" w:rsidRDefault="00240ECD" w:rsidP="0009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35.1</w:t>
            </w:r>
            <w:r w:rsidR="002652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(77.9</w:t>
            </w:r>
            <w:r w:rsidR="000E298B" w:rsidRPr="007133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99D6C" w14:textId="77777777" w:rsidR="000E298B" w:rsidRDefault="007C5B83" w:rsidP="0009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C46A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2.86</w:t>
            </w:r>
          </w:p>
          <w:p w14:paraId="5E88FE4A" w14:textId="77777777" w:rsidR="000E298B" w:rsidRPr="007133D5" w:rsidRDefault="007C5B83" w:rsidP="007C5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(-3.68</w:t>
            </w:r>
            <w:r w:rsidR="00C46A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-2.04</w:t>
            </w:r>
            <w:r w:rsidR="000E29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056B7" w14:textId="77777777" w:rsidR="000E298B" w:rsidRDefault="00180D31" w:rsidP="0009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C46A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1.76</w:t>
            </w:r>
          </w:p>
          <w:p w14:paraId="645B91A8" w14:textId="77777777" w:rsidR="000E298B" w:rsidRPr="007133D5" w:rsidRDefault="00180D31" w:rsidP="0009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(-2.55, -0.98</w:t>
            </w:r>
            <w:r w:rsidR="000E29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FB871" w14:textId="77777777" w:rsidR="000E298B" w:rsidRDefault="00BE5318" w:rsidP="0009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7961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1.76</w:t>
            </w:r>
          </w:p>
          <w:p w14:paraId="32839BCC" w14:textId="77777777" w:rsidR="000E298B" w:rsidRPr="007133D5" w:rsidRDefault="00BE5318" w:rsidP="00BE5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(-2.55</w:t>
            </w:r>
            <w:r w:rsidR="007961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-0.98</w:t>
            </w:r>
            <w:r w:rsidR="000E29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CA54A" w14:textId="77777777" w:rsidR="000E298B" w:rsidRDefault="00641EA5" w:rsidP="0009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D277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1.59</w:t>
            </w:r>
          </w:p>
          <w:p w14:paraId="605E1353" w14:textId="77777777" w:rsidR="000E298B" w:rsidRPr="007133D5" w:rsidRDefault="00641EA5" w:rsidP="00641E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(-2.36</w:t>
            </w:r>
            <w:r w:rsidR="00D277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-0.82</w:t>
            </w:r>
            <w:r w:rsidR="000E29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  <w:tr w:rsidR="000E298B" w:rsidRPr="007939B8" w14:paraId="29DC8494" w14:textId="77777777" w:rsidTr="00091DF2">
        <w:trPr>
          <w:trHeight w:val="278"/>
          <w:jc w:val="center"/>
        </w:trPr>
        <w:tc>
          <w:tcPr>
            <w:tcW w:w="1541" w:type="dxa"/>
            <w:tcBorders>
              <w:right w:val="nil"/>
            </w:tcBorders>
            <w:vAlign w:val="center"/>
          </w:tcPr>
          <w:p w14:paraId="7F500F9D" w14:textId="77777777" w:rsidR="000E298B" w:rsidRPr="007133D5" w:rsidRDefault="000E298B" w:rsidP="00091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81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3D73FC56" w14:textId="77777777" w:rsidR="000E298B" w:rsidRPr="00551531" w:rsidRDefault="000E298B" w:rsidP="0009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5153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Frequency (%)</w:t>
            </w:r>
          </w:p>
        </w:tc>
        <w:tc>
          <w:tcPr>
            <w:tcW w:w="6580" w:type="dxa"/>
            <w:gridSpan w:val="5"/>
            <w:tcBorders>
              <w:left w:val="single" w:sz="4" w:space="0" w:color="auto"/>
            </w:tcBorders>
            <w:vAlign w:val="center"/>
          </w:tcPr>
          <w:p w14:paraId="25A4444A" w14:textId="77777777" w:rsidR="000E298B" w:rsidRPr="00CB04D6" w:rsidRDefault="000E298B" w:rsidP="0009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Odds-ratio, exp(β); % risk-difference</w:t>
            </w:r>
          </w:p>
        </w:tc>
      </w:tr>
      <w:tr w:rsidR="000E298B" w:rsidRPr="00A457D0" w14:paraId="138F2A9A" w14:textId="77777777" w:rsidTr="00091DF2">
        <w:trPr>
          <w:trHeight w:val="702"/>
          <w:jc w:val="center"/>
        </w:trPr>
        <w:tc>
          <w:tcPr>
            <w:tcW w:w="1541" w:type="dxa"/>
            <w:vAlign w:val="center"/>
          </w:tcPr>
          <w:p w14:paraId="0BD6F65D" w14:textId="77777777" w:rsidR="000E298B" w:rsidRPr="00057FA7" w:rsidRDefault="000E298B" w:rsidP="00091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57F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Disability pension</w:t>
            </w:r>
          </w:p>
        </w:tc>
        <w:tc>
          <w:tcPr>
            <w:tcW w:w="840" w:type="dxa"/>
            <w:vAlign w:val="center"/>
          </w:tcPr>
          <w:p w14:paraId="50B60408" w14:textId="77777777" w:rsidR="000E298B" w:rsidRPr="007133D5" w:rsidRDefault="00FF428B" w:rsidP="0009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125</w:t>
            </w:r>
            <w:r w:rsidR="000E29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0E298B" w:rsidRPr="007133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  <w:vAlign w:val="center"/>
          </w:tcPr>
          <w:p w14:paraId="71C59439" w14:textId="77777777" w:rsidR="000E298B" w:rsidRDefault="006233E4" w:rsidP="0009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172</w:t>
            </w:r>
          </w:p>
          <w:p w14:paraId="43D44F6F" w14:textId="77777777" w:rsidR="000E298B" w:rsidRPr="007133D5" w:rsidRDefault="006233E4" w:rsidP="0009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(12.2</w:t>
            </w:r>
            <w:r w:rsidR="000E298B" w:rsidRPr="007133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center"/>
          </w:tcPr>
          <w:p w14:paraId="42F83190" w14:textId="77777777" w:rsidR="000E298B" w:rsidRDefault="00366F84" w:rsidP="0009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</w:p>
          <w:p w14:paraId="46922BCB" w14:textId="77777777" w:rsidR="000E298B" w:rsidRPr="007133D5" w:rsidRDefault="00366F84" w:rsidP="0009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(0.7</w:t>
            </w:r>
            <w:r w:rsidR="000E298B" w:rsidRPr="007133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14:paraId="70A6D359" w14:textId="77777777" w:rsidR="000E298B" w:rsidRDefault="003C0EE3" w:rsidP="0009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  <w:p w14:paraId="4B06FDE9" w14:textId="77777777" w:rsidR="000E298B" w:rsidRPr="007133D5" w:rsidRDefault="003C0EE3" w:rsidP="0009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(8.9</w:t>
            </w:r>
            <w:r w:rsidR="000E298B" w:rsidRPr="007133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7A1CB" w14:textId="77777777" w:rsidR="000E298B" w:rsidRDefault="00F57C55" w:rsidP="0009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1.18</w:t>
            </w:r>
          </w:p>
          <w:p w14:paraId="6516D3E4" w14:textId="77777777" w:rsidR="000E298B" w:rsidRPr="007133D5" w:rsidRDefault="000E298B" w:rsidP="0009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F57C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1.08, 1.28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BC84A" w14:textId="77777777" w:rsidR="000E298B" w:rsidRDefault="000648B6" w:rsidP="0009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1.16</w:t>
            </w:r>
          </w:p>
          <w:p w14:paraId="1FCF9F65" w14:textId="77777777" w:rsidR="000E298B" w:rsidRPr="007133D5" w:rsidRDefault="000648B6" w:rsidP="0009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(1.07, 1.26</w:t>
            </w:r>
            <w:r w:rsidR="000E29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2975E" w14:textId="77777777" w:rsidR="000E298B" w:rsidRDefault="000F51E5" w:rsidP="0009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1.22</w:t>
            </w:r>
          </w:p>
          <w:p w14:paraId="7915DB65" w14:textId="77777777" w:rsidR="000E298B" w:rsidRPr="007133D5" w:rsidRDefault="000F51E5" w:rsidP="0009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(1.12, 1.33</w:t>
            </w:r>
            <w:r w:rsidR="000E29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EA169" w14:textId="77777777" w:rsidR="000E298B" w:rsidRDefault="00E813F1" w:rsidP="0009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1.19</w:t>
            </w:r>
          </w:p>
          <w:p w14:paraId="38D30C64" w14:textId="77777777" w:rsidR="000E298B" w:rsidRPr="007133D5" w:rsidRDefault="00E813F1" w:rsidP="0009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(1.10, 1.30</w:t>
            </w:r>
            <w:r w:rsidR="000E29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  <w:tr w:rsidR="000E298B" w:rsidRPr="007939B8" w14:paraId="7AD69888" w14:textId="77777777" w:rsidTr="00091DF2">
        <w:trPr>
          <w:trHeight w:val="1984"/>
          <w:jc w:val="center"/>
        </w:trPr>
        <w:tc>
          <w:tcPr>
            <w:tcW w:w="11902" w:type="dxa"/>
            <w:gridSpan w:val="11"/>
            <w:vAlign w:val="center"/>
          </w:tcPr>
          <w:p w14:paraId="76621A5A" w14:textId="77777777" w:rsidR="0003760F" w:rsidRDefault="0003760F" w:rsidP="00091DF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Treatment</w:t>
            </w:r>
            <w:r w:rsidR="001A58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status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determined by </w:t>
            </w:r>
            <w:r w:rsidR="005D73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 </w:t>
            </w:r>
            <w:r w:rsidR="00F819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dispensation of an ADHD medication in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Swedish Prescribed Drug Register.</w:t>
            </w:r>
          </w:p>
          <w:p w14:paraId="2C99E8AE" w14:textId="77777777" w:rsidR="0003760F" w:rsidRDefault="00971729" w:rsidP="00091DF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Treated: Individuals with a lifetime dispensation of ADHD medication. Untreated: Individuals without a lifetime dispensation of ADHD medication.</w:t>
            </w:r>
          </w:p>
          <w:p w14:paraId="278029F6" w14:textId="77777777" w:rsidR="000E298B" w:rsidRPr="007133D5" w:rsidRDefault="000E298B" w:rsidP="00091DF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133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t: Year (0-15) after graduation. </w:t>
            </w:r>
            <w:r w:rsidRPr="007133D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Cohort </w:t>
            </w:r>
            <w:proofErr w:type="gramStart"/>
            <w:r w:rsidRPr="007133D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adjustment</w:t>
            </w:r>
            <w:proofErr w:type="gramEnd"/>
            <w:r w:rsidRPr="007133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include year of compulsory school graduation (11 levels) and year of observation (16 levels) as fixed-effects. </w:t>
            </w:r>
            <w:r w:rsidRPr="007133D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Demographic adjustment</w:t>
            </w:r>
            <w:r w:rsidRPr="007133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include cohort covariates, sex, and immigrant status. </w:t>
            </w:r>
            <w:r w:rsidRPr="007133D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Mediation</w:t>
            </w:r>
            <w:r w:rsidRPr="007133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covariates varied by outcome as follows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Income</w:t>
            </w:r>
            <w:r w:rsidRPr="007133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included days unemployed, presence of study benefits and disability </w:t>
            </w:r>
            <w:proofErr w:type="gramStart"/>
            <w:r w:rsidRPr="007133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pension</w:t>
            </w:r>
            <w:proofErr w:type="gramEnd"/>
            <w:r w:rsidRPr="007133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respectively.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Unemployment</w:t>
            </w:r>
            <w:r w:rsidRPr="007133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included disability pension and presence of study benefits.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7133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isability pension included an indicator of being at least 19 years of age in 2003 or later due to an eligibility requirement implemented this year. </w:t>
            </w:r>
            <w:r w:rsidRPr="007133D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Comorbidity </w:t>
            </w:r>
            <w:r w:rsidRPr="007133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includes indicators for a lifetime diagnosis of developmental disorder or intellectual disability.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Lifetime EA</w:t>
            </w:r>
            <w:r w:rsidRPr="007133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includes indicators of lifetime secondary and tertiary educational attainment.</w:t>
            </w:r>
          </w:p>
        </w:tc>
      </w:tr>
    </w:tbl>
    <w:p w14:paraId="15A69544" w14:textId="77777777" w:rsidR="000E298B" w:rsidRDefault="000E298B" w:rsidP="000E298B">
      <w:pPr>
        <w:spacing w:after="160" w:line="259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32B90EEC" w14:textId="77777777" w:rsidR="00AA6138" w:rsidRPr="000E298B" w:rsidRDefault="00B9603A" w:rsidP="000E298B">
      <w:pPr>
        <w:spacing w:after="160" w:line="259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sectPr w:rsidR="00AA6138" w:rsidRPr="000E298B" w:rsidSect="00275983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98B"/>
    <w:rsid w:val="0001133F"/>
    <w:rsid w:val="00013287"/>
    <w:rsid w:val="0003760F"/>
    <w:rsid w:val="000648B6"/>
    <w:rsid w:val="0007223D"/>
    <w:rsid w:val="000E298B"/>
    <w:rsid w:val="000E38EE"/>
    <w:rsid w:val="000F51E5"/>
    <w:rsid w:val="00106E84"/>
    <w:rsid w:val="00180D31"/>
    <w:rsid w:val="001A582B"/>
    <w:rsid w:val="00240ECD"/>
    <w:rsid w:val="0026527F"/>
    <w:rsid w:val="00275983"/>
    <w:rsid w:val="0029393E"/>
    <w:rsid w:val="002F105B"/>
    <w:rsid w:val="002F2174"/>
    <w:rsid w:val="00366F84"/>
    <w:rsid w:val="003B3F00"/>
    <w:rsid w:val="003C0EE3"/>
    <w:rsid w:val="004148A9"/>
    <w:rsid w:val="0042559B"/>
    <w:rsid w:val="00427107"/>
    <w:rsid w:val="005D7341"/>
    <w:rsid w:val="006233E4"/>
    <w:rsid w:val="00641B23"/>
    <w:rsid w:val="00641EA5"/>
    <w:rsid w:val="00643C84"/>
    <w:rsid w:val="00664846"/>
    <w:rsid w:val="007939B8"/>
    <w:rsid w:val="00796193"/>
    <w:rsid w:val="007C5B83"/>
    <w:rsid w:val="007F7AAA"/>
    <w:rsid w:val="008F1CE5"/>
    <w:rsid w:val="00913676"/>
    <w:rsid w:val="00947062"/>
    <w:rsid w:val="00971729"/>
    <w:rsid w:val="00975C51"/>
    <w:rsid w:val="009C535C"/>
    <w:rsid w:val="00A457D0"/>
    <w:rsid w:val="00AB7589"/>
    <w:rsid w:val="00AD354E"/>
    <w:rsid w:val="00B609A1"/>
    <w:rsid w:val="00B7143C"/>
    <w:rsid w:val="00B9603A"/>
    <w:rsid w:val="00BA4B0D"/>
    <w:rsid w:val="00BE50EE"/>
    <w:rsid w:val="00BE5318"/>
    <w:rsid w:val="00C06509"/>
    <w:rsid w:val="00C46AE9"/>
    <w:rsid w:val="00C868CA"/>
    <w:rsid w:val="00C91B65"/>
    <w:rsid w:val="00C9751E"/>
    <w:rsid w:val="00CD06E0"/>
    <w:rsid w:val="00D277A9"/>
    <w:rsid w:val="00D603AC"/>
    <w:rsid w:val="00DA2F5E"/>
    <w:rsid w:val="00DB08A9"/>
    <w:rsid w:val="00E54CC2"/>
    <w:rsid w:val="00E813F1"/>
    <w:rsid w:val="00F57C55"/>
    <w:rsid w:val="00F8190D"/>
    <w:rsid w:val="00FB23FE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059C8"/>
  <w15:chartTrackingRefBased/>
  <w15:docId w15:val="{B5E689B9-CF97-4A97-B4FC-22F677DA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98B"/>
    <w:pPr>
      <w:spacing w:after="200" w:line="276" w:lineRule="auto"/>
    </w:pPr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E298B"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rsid w:val="00BA4B0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2935</TotalTime>
  <Pages>2</Pages>
  <Words>442</Words>
  <Characters>2526</Characters>
  <Application>Microsoft Office Word</Application>
  <DocSecurity>0</DocSecurity>
  <Lines>21</Lines>
  <Paragraphs>5</Paragraphs>
  <ScaleCrop>false</ScaleCrop>
  <Company>MEB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 Jangmo</dc:creator>
  <cp:keywords/>
  <dc:description/>
  <cp:lastModifiedBy>chn off27</cp:lastModifiedBy>
  <cp:revision>64</cp:revision>
  <dcterms:created xsi:type="dcterms:W3CDTF">2020-12-14T16:03:00Z</dcterms:created>
  <dcterms:modified xsi:type="dcterms:W3CDTF">2021-02-20T12:46:00Z</dcterms:modified>
</cp:coreProperties>
</file>