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9005" w14:textId="68DE606B" w:rsidR="008804CD" w:rsidRPr="000B0C68" w:rsidRDefault="008804CD" w:rsidP="008804CD">
      <w:pPr>
        <w:rPr>
          <w:rFonts w:cs="Arial"/>
          <w:b/>
          <w:lang w:val="en-US"/>
        </w:rPr>
      </w:pPr>
      <w:bookmarkStart w:id="0" w:name="_GoBack"/>
      <w:r w:rsidRPr="000B0C68">
        <w:rPr>
          <w:rFonts w:cs="Arial"/>
          <w:b/>
          <w:lang w:val="en-US"/>
        </w:rPr>
        <w:t>S3</w:t>
      </w:r>
      <w:r w:rsidR="00AE532C" w:rsidRPr="000B0C68">
        <w:rPr>
          <w:rFonts w:cs="Arial"/>
          <w:b/>
          <w:lang w:val="en-US"/>
        </w:rPr>
        <w:t xml:space="preserve"> Table</w:t>
      </w:r>
      <w:r w:rsidRPr="000B0C68">
        <w:rPr>
          <w:rFonts w:cs="Arial"/>
          <w:b/>
          <w:lang w:val="en-US"/>
        </w:rPr>
        <w:t>. Effect of participation in GEAVaP intervention on timely vaccination with first dose of Polio and BCG vaccine [Per-protocol] (Intervention period N= 408) (Unadjusted analysis)</w:t>
      </w:r>
    </w:p>
    <w:bookmarkEnd w:id="0"/>
    <w:tbl>
      <w:tblPr>
        <w:tblStyle w:val="TableGrid"/>
        <w:tblW w:w="12610" w:type="dxa"/>
        <w:tblLayout w:type="fixed"/>
        <w:tblLook w:val="04A0" w:firstRow="1" w:lastRow="0" w:firstColumn="1" w:lastColumn="0" w:noHBand="0" w:noVBand="1"/>
      </w:tblPr>
      <w:tblGrid>
        <w:gridCol w:w="4248"/>
        <w:gridCol w:w="1701"/>
        <w:gridCol w:w="1559"/>
        <w:gridCol w:w="2551"/>
        <w:gridCol w:w="2551"/>
      </w:tblGrid>
      <w:tr w:rsidR="007F4670" w:rsidRPr="0052590D" w14:paraId="3BEAC80B" w14:textId="6E868AE2" w:rsidTr="007F4670">
        <w:tc>
          <w:tcPr>
            <w:tcW w:w="4248" w:type="dxa"/>
            <w:tcBorders>
              <w:top w:val="single" w:sz="4" w:space="0" w:color="auto"/>
              <w:left w:val="single" w:sz="4" w:space="0" w:color="auto"/>
              <w:bottom w:val="single" w:sz="4" w:space="0" w:color="auto"/>
              <w:right w:val="single" w:sz="4" w:space="0" w:color="auto"/>
            </w:tcBorders>
          </w:tcPr>
          <w:p w14:paraId="51CEE11D" w14:textId="77777777" w:rsidR="007F4670" w:rsidRDefault="007F4670" w:rsidP="007F4670">
            <w:pPr>
              <w:rPr>
                <w:rFonts w:cs="Arial"/>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9EF273" w14:textId="77777777" w:rsidR="007F4670" w:rsidRDefault="007F4670" w:rsidP="007F4670">
            <w:pPr>
              <w:rPr>
                <w:rFonts w:cs="Arial"/>
                <w:lang w:val="en-US"/>
              </w:rPr>
            </w:pPr>
            <w:r>
              <w:rPr>
                <w:rFonts w:cs="Arial"/>
                <w:lang w:val="en-US"/>
              </w:rPr>
              <w:t>% (n) of target enrolled in program or reached</w:t>
            </w:r>
            <w:r w:rsidRPr="00E67D5E">
              <w:rPr>
                <w:rFonts w:cs="Arial"/>
                <w:vertAlign w:val="superscript"/>
                <w:lang w:val="en-US"/>
              </w:rPr>
              <w:t xml:space="preserve">1 </w:t>
            </w:r>
          </w:p>
        </w:tc>
        <w:tc>
          <w:tcPr>
            <w:tcW w:w="1559" w:type="dxa"/>
            <w:tcBorders>
              <w:top w:val="single" w:sz="4" w:space="0" w:color="auto"/>
              <w:left w:val="single" w:sz="4" w:space="0" w:color="auto"/>
              <w:bottom w:val="single" w:sz="4" w:space="0" w:color="auto"/>
              <w:right w:val="nil"/>
            </w:tcBorders>
            <w:shd w:val="clear" w:color="auto" w:fill="FFFFFF" w:themeFill="background1"/>
          </w:tcPr>
          <w:p w14:paraId="54C7E23E" w14:textId="77777777" w:rsidR="007F4670" w:rsidRDefault="007F4670" w:rsidP="007F4670">
            <w:pPr>
              <w:rPr>
                <w:rFonts w:cs="Arial"/>
                <w:lang w:val="en-US"/>
              </w:rPr>
            </w:pPr>
            <w:r>
              <w:rPr>
                <w:rFonts w:cs="Arial"/>
                <w:lang w:val="en-US"/>
              </w:rPr>
              <w:t xml:space="preserve">% (n) on-time birth doses among enrolled or reached </w:t>
            </w:r>
            <w:r w:rsidRPr="00E67D5E">
              <w:rPr>
                <w:rFonts w:cs="Arial"/>
                <w:vertAlign w:val="superscript"/>
                <w:lang w:val="en-US"/>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7DA34" w14:textId="77777777" w:rsidR="007F4670" w:rsidRDefault="007F4670" w:rsidP="007F4670">
            <w:pPr>
              <w:rPr>
                <w:rFonts w:cs="Arial"/>
                <w:lang w:val="fr-FR"/>
              </w:rPr>
            </w:pPr>
            <w:r>
              <w:rPr>
                <w:rFonts w:cs="Arial"/>
                <w:lang w:val="fr-FR"/>
              </w:rPr>
              <w:t xml:space="preserve">Difference in proportion (95% CI ) </w:t>
            </w:r>
            <w:r w:rsidRPr="00E67D5E">
              <w:rPr>
                <w:rFonts w:cs="Arial"/>
                <w:vertAlign w:val="superscript"/>
                <w:lang w:val="fr-FR"/>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31AA787" w14:textId="77777777" w:rsidR="007F4670" w:rsidRDefault="007F4670" w:rsidP="007F4670">
            <w:pPr>
              <w:rPr>
                <w:rFonts w:cs="Arial"/>
                <w:lang w:val="fr-FR"/>
              </w:rPr>
            </w:pPr>
            <w:r>
              <w:rPr>
                <w:rFonts w:cs="Arial"/>
                <w:lang w:val="fr-FR"/>
              </w:rPr>
              <w:t xml:space="preserve">Prevalence ratio </w:t>
            </w:r>
          </w:p>
          <w:p w14:paraId="540DD215" w14:textId="30998AD6" w:rsidR="007F4670" w:rsidRDefault="007F4670" w:rsidP="007F4670">
            <w:pPr>
              <w:rPr>
                <w:rFonts w:cs="Arial"/>
                <w:lang w:val="fr-FR"/>
              </w:rPr>
            </w:pPr>
            <w:r>
              <w:rPr>
                <w:rFonts w:cs="Arial"/>
                <w:lang w:val="fr-FR"/>
              </w:rPr>
              <w:t xml:space="preserve">(95% CI) </w:t>
            </w:r>
            <w:r w:rsidRPr="00E67D5E">
              <w:rPr>
                <w:rFonts w:cs="Arial"/>
                <w:vertAlign w:val="superscript"/>
                <w:lang w:val="fr-FR"/>
              </w:rPr>
              <w:t>3</w:t>
            </w:r>
          </w:p>
        </w:tc>
      </w:tr>
      <w:tr w:rsidR="007F4670" w:rsidRPr="00CC1594" w14:paraId="7B949035" w14:textId="7CC9396E" w:rsidTr="007F4670">
        <w:tc>
          <w:tcPr>
            <w:tcW w:w="4248" w:type="dxa"/>
            <w:tcBorders>
              <w:top w:val="single" w:sz="4" w:space="0" w:color="auto"/>
              <w:right w:val="single" w:sz="4" w:space="0" w:color="auto"/>
            </w:tcBorders>
          </w:tcPr>
          <w:p w14:paraId="39092EF4" w14:textId="77777777" w:rsidR="007F4670" w:rsidRPr="00C5711E" w:rsidRDefault="007F4670" w:rsidP="007F4670">
            <w:pPr>
              <w:rPr>
                <w:rFonts w:cs="Arial"/>
                <w:lang w:val="en-US"/>
              </w:rPr>
            </w:pPr>
            <w:r w:rsidRPr="00C5711E">
              <w:rPr>
                <w:rFonts w:cs="Arial"/>
                <w:lang w:val="en-US"/>
              </w:rPr>
              <w:t>Control (N= 150)</w:t>
            </w:r>
          </w:p>
          <w:p w14:paraId="305B2221" w14:textId="77777777" w:rsidR="007F4670" w:rsidRPr="00C5711E" w:rsidRDefault="007F4670" w:rsidP="007F4670">
            <w:pPr>
              <w:rPr>
                <w:rFonts w:cs="Arial"/>
                <w:lang w:val="en-US"/>
              </w:rPr>
            </w:pPr>
          </w:p>
          <w:p w14:paraId="33391D83" w14:textId="77777777" w:rsidR="007F4670" w:rsidRDefault="007F4670" w:rsidP="007F4670">
            <w:pPr>
              <w:rPr>
                <w:rFonts w:cs="Arial"/>
                <w:lang w:val="en-US"/>
              </w:rPr>
            </w:pPr>
            <w:r>
              <w:rPr>
                <w:rFonts w:cs="Arial"/>
                <w:lang w:val="en-US"/>
              </w:rPr>
              <w:t>Reminder (N= 135)</w:t>
            </w:r>
          </w:p>
          <w:p w14:paraId="312DF60B" w14:textId="77777777" w:rsidR="007F4670" w:rsidRDefault="007F4670" w:rsidP="007F4670">
            <w:pPr>
              <w:rPr>
                <w:rFonts w:cs="Arial"/>
                <w:lang w:val="en-US"/>
              </w:rPr>
            </w:pPr>
            <w:r>
              <w:rPr>
                <w:rFonts w:cs="Arial"/>
                <w:lang w:val="en-US"/>
              </w:rPr>
              <w:t>Enrolled in program not reached</w:t>
            </w:r>
            <w:r>
              <w:rPr>
                <w:rFonts w:cs="Arial"/>
                <w:vertAlign w:val="superscript"/>
                <w:lang w:val="en-US"/>
              </w:rPr>
              <w:t>5</w:t>
            </w:r>
          </w:p>
          <w:p w14:paraId="4B44DA77" w14:textId="77777777" w:rsidR="007F4670" w:rsidRDefault="007F4670" w:rsidP="007F4670">
            <w:pPr>
              <w:rPr>
                <w:rFonts w:cs="Arial"/>
                <w:lang w:val="en-US"/>
              </w:rPr>
            </w:pPr>
            <w:r>
              <w:rPr>
                <w:rFonts w:cs="Arial"/>
                <w:lang w:val="en-US"/>
              </w:rPr>
              <w:t>Enrolled in program reached 1+ times</w:t>
            </w:r>
            <w:r>
              <w:rPr>
                <w:rFonts w:cs="Arial"/>
                <w:vertAlign w:val="superscript"/>
                <w:lang w:val="en-US"/>
              </w:rPr>
              <w:t>6</w:t>
            </w:r>
          </w:p>
          <w:p w14:paraId="2B7DD23C" w14:textId="77777777" w:rsidR="007F4670" w:rsidRDefault="007F4670" w:rsidP="007F4670">
            <w:pPr>
              <w:rPr>
                <w:rFonts w:cs="Arial"/>
                <w:lang w:val="en-US"/>
              </w:rPr>
            </w:pPr>
          </w:p>
          <w:p w14:paraId="14F71AD2" w14:textId="77777777" w:rsidR="007F4670" w:rsidRDefault="007F4670" w:rsidP="007F4670">
            <w:pPr>
              <w:rPr>
                <w:rFonts w:cs="Arial"/>
                <w:lang w:val="en-US"/>
              </w:rPr>
            </w:pPr>
            <w:r>
              <w:rPr>
                <w:rFonts w:cs="Arial"/>
                <w:lang w:val="en-US"/>
              </w:rPr>
              <w:t>Incentive (N= 123)</w:t>
            </w:r>
          </w:p>
          <w:p w14:paraId="66CCA7A7" w14:textId="77777777" w:rsidR="007F4670" w:rsidRDefault="007F4670" w:rsidP="007F4670">
            <w:pPr>
              <w:rPr>
                <w:rFonts w:cs="Arial"/>
                <w:lang w:val="en-US"/>
              </w:rPr>
            </w:pPr>
            <w:r>
              <w:rPr>
                <w:rFonts w:cs="Arial"/>
                <w:lang w:val="en-US"/>
              </w:rPr>
              <w:t>Enrolled in program</w:t>
            </w:r>
            <w:r>
              <w:rPr>
                <w:rFonts w:cs="Arial"/>
                <w:vertAlign w:val="superscript"/>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8A8CE" w14:textId="77777777" w:rsidR="007F4670" w:rsidRDefault="007F4670" w:rsidP="008C30DA">
            <w:pPr>
              <w:jc w:val="right"/>
              <w:rPr>
                <w:rFonts w:cs="Arial"/>
                <w:lang w:val="en-US"/>
              </w:rPr>
            </w:pPr>
            <w:r>
              <w:rPr>
                <w:rFonts w:cs="Arial"/>
                <w:lang w:val="en-US"/>
              </w:rPr>
              <w:t>--</w:t>
            </w:r>
          </w:p>
          <w:p w14:paraId="0280B956" w14:textId="77777777" w:rsidR="007F4670" w:rsidRDefault="007F4670" w:rsidP="008C30DA">
            <w:pPr>
              <w:jc w:val="right"/>
              <w:rPr>
                <w:rFonts w:cs="Arial"/>
                <w:lang w:val="en-US"/>
              </w:rPr>
            </w:pPr>
          </w:p>
          <w:p w14:paraId="1F52CB32" w14:textId="77777777" w:rsidR="007F4670" w:rsidRDefault="007F4670" w:rsidP="008C30DA">
            <w:pPr>
              <w:jc w:val="right"/>
              <w:rPr>
                <w:rFonts w:cs="Arial"/>
                <w:lang w:val="en-US"/>
              </w:rPr>
            </w:pPr>
          </w:p>
          <w:p w14:paraId="464A046C" w14:textId="77777777" w:rsidR="007F4670" w:rsidRDefault="007F4670" w:rsidP="008C30DA">
            <w:pPr>
              <w:jc w:val="right"/>
              <w:rPr>
                <w:rFonts w:cs="Arial"/>
                <w:lang w:val="en-US"/>
              </w:rPr>
            </w:pPr>
            <w:r>
              <w:rPr>
                <w:rFonts w:cs="Arial"/>
                <w:lang w:val="en-US"/>
              </w:rPr>
              <w:t xml:space="preserve">29.6 (40) </w:t>
            </w:r>
          </w:p>
          <w:p w14:paraId="20988A1D" w14:textId="77777777" w:rsidR="007F4670" w:rsidRDefault="007F4670" w:rsidP="008C30DA">
            <w:pPr>
              <w:jc w:val="right"/>
              <w:rPr>
                <w:rFonts w:cs="Arial"/>
                <w:lang w:val="en-US"/>
              </w:rPr>
            </w:pPr>
            <w:r>
              <w:rPr>
                <w:rFonts w:cs="Arial"/>
                <w:lang w:val="en-US"/>
              </w:rPr>
              <w:t>41.5 (56)</w:t>
            </w:r>
          </w:p>
          <w:p w14:paraId="16F73D13" w14:textId="77777777" w:rsidR="007F4670" w:rsidRDefault="007F4670" w:rsidP="008C30DA">
            <w:pPr>
              <w:jc w:val="right"/>
              <w:rPr>
                <w:rFonts w:cs="Arial"/>
                <w:lang w:val="en-US"/>
              </w:rPr>
            </w:pPr>
          </w:p>
          <w:p w14:paraId="25EEC0C5" w14:textId="77777777" w:rsidR="007F4670" w:rsidRDefault="007F4670" w:rsidP="008C30DA">
            <w:pPr>
              <w:jc w:val="right"/>
              <w:rPr>
                <w:rFonts w:cs="Arial"/>
                <w:lang w:val="en-US"/>
              </w:rPr>
            </w:pPr>
          </w:p>
          <w:p w14:paraId="53660840" w14:textId="77777777" w:rsidR="007F4670" w:rsidRPr="000E37D2" w:rsidRDefault="007F4670" w:rsidP="008C30DA">
            <w:pPr>
              <w:jc w:val="right"/>
              <w:rPr>
                <w:rFonts w:cs="Arial"/>
                <w:lang w:val="en-US"/>
              </w:rPr>
            </w:pPr>
            <w:r>
              <w:rPr>
                <w:rFonts w:cs="Arial"/>
                <w:lang w:val="en-US"/>
              </w:rPr>
              <w:t>66.7 (82)</w:t>
            </w:r>
          </w:p>
        </w:tc>
        <w:tc>
          <w:tcPr>
            <w:tcW w:w="1559" w:type="dxa"/>
            <w:tcBorders>
              <w:top w:val="single" w:sz="4" w:space="0" w:color="auto"/>
              <w:left w:val="single" w:sz="4" w:space="0" w:color="auto"/>
              <w:bottom w:val="single" w:sz="4" w:space="0" w:color="auto"/>
              <w:right w:val="nil"/>
            </w:tcBorders>
            <w:shd w:val="clear" w:color="auto" w:fill="FFFFFF" w:themeFill="background1"/>
          </w:tcPr>
          <w:p w14:paraId="0C57726B" w14:textId="77777777" w:rsidR="007F4670" w:rsidRDefault="007F4670" w:rsidP="008C30DA">
            <w:pPr>
              <w:jc w:val="right"/>
              <w:rPr>
                <w:rFonts w:cs="Arial"/>
                <w:lang w:val="en-US"/>
              </w:rPr>
            </w:pPr>
            <w:r>
              <w:rPr>
                <w:rFonts w:cs="Arial"/>
                <w:lang w:val="en-US"/>
              </w:rPr>
              <w:t>48.7 (73)</w:t>
            </w:r>
          </w:p>
          <w:p w14:paraId="11CD2D51" w14:textId="77777777" w:rsidR="007F4670" w:rsidRDefault="007F4670" w:rsidP="008C30DA">
            <w:pPr>
              <w:jc w:val="right"/>
              <w:rPr>
                <w:rFonts w:cs="Arial"/>
                <w:lang w:val="en-US"/>
              </w:rPr>
            </w:pPr>
          </w:p>
          <w:p w14:paraId="075049FB" w14:textId="77777777" w:rsidR="007F4670" w:rsidRDefault="007F4670" w:rsidP="008C30DA">
            <w:pPr>
              <w:jc w:val="right"/>
              <w:rPr>
                <w:rFonts w:cs="Arial"/>
                <w:lang w:val="en-US"/>
              </w:rPr>
            </w:pPr>
          </w:p>
          <w:p w14:paraId="2E32D596" w14:textId="77777777" w:rsidR="007F4670" w:rsidRDefault="007F4670" w:rsidP="008C30DA">
            <w:pPr>
              <w:jc w:val="right"/>
              <w:rPr>
                <w:rFonts w:cs="Arial"/>
                <w:lang w:val="en-US"/>
              </w:rPr>
            </w:pPr>
            <w:r>
              <w:rPr>
                <w:rFonts w:cs="Arial"/>
                <w:lang w:val="en-US"/>
              </w:rPr>
              <w:t>30.0 (12)</w:t>
            </w:r>
          </w:p>
          <w:p w14:paraId="6F38A631" w14:textId="77777777" w:rsidR="007F4670" w:rsidRDefault="007F4670" w:rsidP="008C30DA">
            <w:pPr>
              <w:jc w:val="right"/>
              <w:rPr>
                <w:rFonts w:cs="Arial"/>
                <w:lang w:val="en-US"/>
              </w:rPr>
            </w:pPr>
            <w:r>
              <w:rPr>
                <w:rFonts w:cs="Arial"/>
                <w:lang w:val="en-US"/>
              </w:rPr>
              <w:t>44.6 (25)</w:t>
            </w:r>
          </w:p>
          <w:p w14:paraId="6B4CA9AC" w14:textId="77777777" w:rsidR="007F4670" w:rsidRDefault="007F4670" w:rsidP="008C30DA">
            <w:pPr>
              <w:jc w:val="right"/>
              <w:rPr>
                <w:rFonts w:cs="Arial"/>
                <w:lang w:val="en-US"/>
              </w:rPr>
            </w:pPr>
          </w:p>
          <w:p w14:paraId="77161FB2" w14:textId="77777777" w:rsidR="007F4670" w:rsidRDefault="007F4670" w:rsidP="008C30DA">
            <w:pPr>
              <w:jc w:val="right"/>
              <w:rPr>
                <w:rFonts w:cs="Arial"/>
                <w:lang w:val="en-US"/>
              </w:rPr>
            </w:pPr>
          </w:p>
          <w:p w14:paraId="26CAE561" w14:textId="77777777" w:rsidR="007F4670" w:rsidRPr="000E37D2" w:rsidRDefault="007F4670" w:rsidP="008C30DA">
            <w:pPr>
              <w:jc w:val="right"/>
              <w:rPr>
                <w:rFonts w:cs="Arial"/>
                <w:lang w:val="en-US"/>
              </w:rPr>
            </w:pPr>
            <w:r>
              <w:rPr>
                <w:rFonts w:cs="Arial"/>
                <w:lang w:val="en-US"/>
              </w:rPr>
              <w:t>61.0 (50)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D45751" w14:textId="77777777" w:rsidR="007F4670" w:rsidRDefault="007F4670" w:rsidP="008C30DA">
            <w:pPr>
              <w:jc w:val="right"/>
              <w:rPr>
                <w:rFonts w:cs="Arial"/>
                <w:i/>
                <w:lang w:val="en-US"/>
              </w:rPr>
            </w:pPr>
            <w:r w:rsidRPr="00C5711E">
              <w:rPr>
                <w:rFonts w:cs="Arial"/>
                <w:i/>
                <w:lang w:val="en-US"/>
              </w:rPr>
              <w:t>Reference</w:t>
            </w:r>
          </w:p>
          <w:p w14:paraId="39268682" w14:textId="77777777" w:rsidR="007F4670" w:rsidRPr="00C5711E" w:rsidRDefault="007F4670" w:rsidP="008C30DA">
            <w:pPr>
              <w:jc w:val="right"/>
              <w:rPr>
                <w:rFonts w:cs="Arial"/>
                <w:lang w:val="en-US"/>
              </w:rPr>
            </w:pPr>
          </w:p>
          <w:p w14:paraId="1602F907" w14:textId="77777777" w:rsidR="007F4670" w:rsidRPr="00C5711E" w:rsidRDefault="007F4670" w:rsidP="008C30DA">
            <w:pPr>
              <w:jc w:val="right"/>
              <w:rPr>
                <w:rFonts w:cs="Arial"/>
                <w:lang w:val="en-US"/>
              </w:rPr>
            </w:pPr>
          </w:p>
          <w:p w14:paraId="0B18462E" w14:textId="77777777" w:rsidR="007F4670" w:rsidRPr="00C5711E" w:rsidRDefault="007F4670" w:rsidP="008C30DA">
            <w:pPr>
              <w:jc w:val="right"/>
              <w:rPr>
                <w:rFonts w:cs="Arial"/>
                <w:lang w:val="en-US"/>
              </w:rPr>
            </w:pPr>
            <w:r w:rsidRPr="00C5711E">
              <w:rPr>
                <w:rFonts w:cs="Arial"/>
                <w:lang w:val="en-US"/>
              </w:rPr>
              <w:t>0.038 (-0.131, 0.208)</w:t>
            </w:r>
          </w:p>
          <w:p w14:paraId="3D4914E0" w14:textId="604E9EC1" w:rsidR="007F4670" w:rsidRPr="00C5711E" w:rsidRDefault="007F4670" w:rsidP="008C30DA">
            <w:pPr>
              <w:jc w:val="right"/>
              <w:rPr>
                <w:rFonts w:cs="Arial"/>
                <w:b/>
                <w:lang w:val="en-US"/>
              </w:rPr>
            </w:pPr>
            <w:r w:rsidRPr="00C5711E">
              <w:rPr>
                <w:rFonts w:cs="Arial"/>
                <w:b/>
                <w:lang w:val="en-US"/>
              </w:rPr>
              <w:t xml:space="preserve">0.095 </w:t>
            </w:r>
            <w:r w:rsidR="00F32955">
              <w:rPr>
                <w:rFonts w:cs="Arial"/>
                <w:b/>
                <w:lang w:val="en-US"/>
              </w:rPr>
              <w:t xml:space="preserve"> </w:t>
            </w:r>
            <w:r w:rsidRPr="00C5711E">
              <w:rPr>
                <w:rFonts w:cs="Arial"/>
                <w:b/>
                <w:lang w:val="en-US"/>
              </w:rPr>
              <w:t>(0.017, 0.174)</w:t>
            </w:r>
          </w:p>
          <w:p w14:paraId="37B297C3" w14:textId="77777777" w:rsidR="007F4670" w:rsidRPr="00C5711E" w:rsidRDefault="007F4670" w:rsidP="008C30DA">
            <w:pPr>
              <w:jc w:val="right"/>
              <w:rPr>
                <w:rFonts w:cs="Arial"/>
                <w:b/>
                <w:lang w:val="en-US"/>
              </w:rPr>
            </w:pPr>
          </w:p>
          <w:p w14:paraId="5974EB21" w14:textId="77777777" w:rsidR="007F4670" w:rsidRPr="00C5711E" w:rsidRDefault="007F4670" w:rsidP="008C30DA">
            <w:pPr>
              <w:jc w:val="right"/>
              <w:rPr>
                <w:rFonts w:cs="Arial"/>
                <w:lang w:val="en-US"/>
              </w:rPr>
            </w:pPr>
          </w:p>
          <w:p w14:paraId="756D4247" w14:textId="6CA94A81" w:rsidR="007F4670" w:rsidRPr="00C5711E" w:rsidRDefault="007F4670" w:rsidP="008C30DA">
            <w:pPr>
              <w:jc w:val="right"/>
              <w:rPr>
                <w:rFonts w:cs="Arial"/>
                <w:b/>
                <w:lang w:val="en-US"/>
              </w:rPr>
            </w:pPr>
            <w:r w:rsidRPr="00C5711E">
              <w:rPr>
                <w:rFonts w:cs="Arial"/>
                <w:b/>
                <w:lang w:val="en-US"/>
              </w:rPr>
              <w:t>0.582</w:t>
            </w:r>
            <w:r w:rsidR="008C30DA">
              <w:rPr>
                <w:rFonts w:cs="Arial"/>
                <w:b/>
                <w:lang w:val="en-US"/>
              </w:rPr>
              <w:t xml:space="preserve"> </w:t>
            </w:r>
            <w:r w:rsidRPr="00C5711E">
              <w:rPr>
                <w:rFonts w:cs="Arial"/>
                <w:b/>
                <w:lang w:val="en-US"/>
              </w:rPr>
              <w:t xml:space="preserve"> (0.323, 0.840)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6FEE58" w14:textId="77777777" w:rsidR="007F4670" w:rsidRPr="00C5711E" w:rsidRDefault="007F4670" w:rsidP="008C30DA">
            <w:pPr>
              <w:jc w:val="right"/>
              <w:rPr>
                <w:rFonts w:cs="Arial"/>
                <w:i/>
                <w:lang w:val="en-US"/>
              </w:rPr>
            </w:pPr>
            <w:r w:rsidRPr="00C5711E">
              <w:rPr>
                <w:rFonts w:cs="Arial"/>
                <w:i/>
                <w:lang w:val="en-US"/>
              </w:rPr>
              <w:t>Reference</w:t>
            </w:r>
          </w:p>
          <w:p w14:paraId="1A174BBC" w14:textId="77777777" w:rsidR="007F4670" w:rsidRDefault="007F4670" w:rsidP="008C30DA">
            <w:pPr>
              <w:jc w:val="right"/>
              <w:rPr>
                <w:rFonts w:cs="Arial"/>
                <w:lang w:val="en-US"/>
              </w:rPr>
            </w:pPr>
          </w:p>
          <w:p w14:paraId="0AC133C2" w14:textId="77777777" w:rsidR="007F4670" w:rsidRDefault="007F4670" w:rsidP="008C30DA">
            <w:pPr>
              <w:jc w:val="right"/>
              <w:rPr>
                <w:rFonts w:cs="Arial"/>
                <w:lang w:val="en-US"/>
              </w:rPr>
            </w:pPr>
          </w:p>
          <w:p w14:paraId="30EB3F64" w14:textId="77777777" w:rsidR="007F4670" w:rsidRDefault="007F4670" w:rsidP="008C30DA">
            <w:pPr>
              <w:jc w:val="right"/>
              <w:rPr>
                <w:rFonts w:cs="Arial"/>
                <w:lang w:val="en-US"/>
              </w:rPr>
            </w:pPr>
            <w:r w:rsidRPr="00C5711E">
              <w:rPr>
                <w:rFonts w:cs="Arial"/>
                <w:lang w:val="en-US"/>
              </w:rPr>
              <w:t>1.2</w:t>
            </w:r>
            <w:r>
              <w:rPr>
                <w:rFonts w:cs="Arial"/>
                <w:lang w:val="en-US"/>
              </w:rPr>
              <w:t xml:space="preserve"> (0.64, 2.3)</w:t>
            </w:r>
          </w:p>
          <w:p w14:paraId="4BEBB5B8" w14:textId="77777777" w:rsidR="007F4670" w:rsidRPr="00C5711E" w:rsidRDefault="007F4670" w:rsidP="008C30DA">
            <w:pPr>
              <w:jc w:val="right"/>
              <w:rPr>
                <w:rFonts w:cs="Arial"/>
                <w:lang w:val="en-US"/>
              </w:rPr>
            </w:pPr>
            <w:r w:rsidRPr="00C5711E">
              <w:rPr>
                <w:rFonts w:cs="Arial"/>
                <w:lang w:val="en-US"/>
              </w:rPr>
              <w:t>1.4</w:t>
            </w:r>
            <w:r>
              <w:rPr>
                <w:rFonts w:cs="Arial"/>
                <w:lang w:val="en-US"/>
              </w:rPr>
              <w:t xml:space="preserve"> (0.98, 2.1)</w:t>
            </w:r>
          </w:p>
          <w:p w14:paraId="2CA73E3E" w14:textId="77777777" w:rsidR="007F4670" w:rsidRDefault="007F4670" w:rsidP="008C30DA">
            <w:pPr>
              <w:jc w:val="right"/>
              <w:rPr>
                <w:rFonts w:cs="Arial"/>
                <w:vertAlign w:val="superscript"/>
                <w:lang w:val="en-US"/>
              </w:rPr>
            </w:pPr>
          </w:p>
          <w:p w14:paraId="270BA7AB" w14:textId="77777777" w:rsidR="007F4670" w:rsidRDefault="007F4670" w:rsidP="008C30DA">
            <w:pPr>
              <w:jc w:val="right"/>
              <w:rPr>
                <w:rFonts w:cs="Arial"/>
                <w:b/>
                <w:lang w:val="en-US"/>
              </w:rPr>
            </w:pPr>
          </w:p>
          <w:p w14:paraId="2FAF5DA6" w14:textId="2CE8781F" w:rsidR="007F4670" w:rsidRPr="00C5711E" w:rsidRDefault="007F4670" w:rsidP="008C30DA">
            <w:pPr>
              <w:jc w:val="right"/>
              <w:rPr>
                <w:rFonts w:cs="Arial"/>
                <w:i/>
                <w:lang w:val="en-US"/>
              </w:rPr>
            </w:pPr>
            <w:r w:rsidRPr="00C5711E">
              <w:rPr>
                <w:rFonts w:cs="Arial"/>
                <w:b/>
                <w:lang w:val="en-US"/>
              </w:rPr>
              <w:t>4.9</w:t>
            </w:r>
            <w:r>
              <w:rPr>
                <w:rFonts w:cs="Arial"/>
                <w:vertAlign w:val="superscript"/>
                <w:lang w:val="en-US"/>
              </w:rPr>
              <w:t xml:space="preserve"> </w:t>
            </w:r>
            <w:r w:rsidR="00F32955">
              <w:rPr>
                <w:rFonts w:cs="Arial"/>
                <w:vertAlign w:val="superscript"/>
                <w:lang w:val="en-US"/>
              </w:rPr>
              <w:t xml:space="preserve">  </w:t>
            </w:r>
            <w:r>
              <w:rPr>
                <w:rFonts w:cs="Arial"/>
                <w:b/>
                <w:lang w:val="en-US"/>
              </w:rPr>
              <w:t>(2.4, 9.9)</w:t>
            </w:r>
          </w:p>
        </w:tc>
      </w:tr>
    </w:tbl>
    <w:p w14:paraId="0D6D292F" w14:textId="77777777" w:rsidR="008804CD" w:rsidRPr="00A63928" w:rsidRDefault="008804CD" w:rsidP="008804CD">
      <w:pPr>
        <w:spacing w:after="120" w:line="240" w:lineRule="auto"/>
        <w:rPr>
          <w:rFonts w:cs="Arial"/>
          <w:lang w:val="en-US"/>
        </w:rPr>
      </w:pPr>
      <w:r w:rsidRPr="00A63928">
        <w:rPr>
          <w:rFonts w:cs="Arial"/>
          <w:lang w:val="en-US"/>
        </w:rPr>
        <w:t xml:space="preserve">Bold indicates statistically significant at </w:t>
      </w:r>
      <m:oMath>
        <m:r>
          <w:rPr>
            <w:rFonts w:ascii="Cambria Math" w:hAnsi="Cambria Math" w:cs="Arial"/>
            <w:lang w:val="en-US"/>
          </w:rPr>
          <m:t>α</m:t>
        </m:r>
      </m:oMath>
      <w:r>
        <w:rPr>
          <w:rFonts w:eastAsiaTheme="minorEastAsia" w:cs="Arial"/>
          <w:lang w:val="en-US"/>
        </w:rPr>
        <w:t xml:space="preserve"> level </w:t>
      </w:r>
      <w:r w:rsidRPr="00A63928">
        <w:rPr>
          <w:rFonts w:cs="Arial"/>
          <w:lang w:val="en-US"/>
        </w:rPr>
        <w:t>5%</w:t>
      </w:r>
    </w:p>
    <w:p w14:paraId="2FD1A127" w14:textId="77777777" w:rsidR="008804CD" w:rsidRDefault="008804CD" w:rsidP="008804CD">
      <w:pPr>
        <w:spacing w:after="120" w:line="240" w:lineRule="auto"/>
        <w:rPr>
          <w:rFonts w:cs="Arial"/>
          <w:lang w:val="en-US"/>
        </w:rPr>
      </w:pPr>
      <w:r>
        <w:rPr>
          <w:rFonts w:cs="Arial"/>
          <w:vertAlign w:val="superscript"/>
          <w:lang w:val="en-US"/>
        </w:rPr>
        <w:t>1</w:t>
      </w:r>
      <w:r>
        <w:rPr>
          <w:rFonts w:cs="Arial"/>
          <w:lang w:val="en-US"/>
        </w:rPr>
        <w:t>n and % relate to the number of individuals and proportion of individuals in the respective intervention arm who were enrolled in the program and ever reached by the program activities. The numerator is the size of the population enrolled in the program or reached by the program in the intervention time period and the denominator is the size of the intervention arm in the intervention time period.</w:t>
      </w:r>
    </w:p>
    <w:p w14:paraId="18202E09" w14:textId="77777777" w:rsidR="008804CD" w:rsidRDefault="008804CD" w:rsidP="008804CD">
      <w:pPr>
        <w:spacing w:after="120" w:line="240" w:lineRule="auto"/>
        <w:rPr>
          <w:rFonts w:cs="Arial"/>
          <w:lang w:val="en-US"/>
        </w:rPr>
      </w:pPr>
      <w:r>
        <w:rPr>
          <w:rFonts w:cs="Arial"/>
          <w:vertAlign w:val="superscript"/>
          <w:lang w:val="en-US"/>
        </w:rPr>
        <w:t>2</w:t>
      </w:r>
      <w:r w:rsidRPr="00C70555">
        <w:rPr>
          <w:rFonts w:cs="Arial"/>
          <w:vertAlign w:val="superscript"/>
          <w:lang w:val="en-US"/>
        </w:rPr>
        <w:t xml:space="preserve"> </w:t>
      </w:r>
      <w:r>
        <w:rPr>
          <w:rFonts w:cs="Arial"/>
          <w:lang w:val="en-US"/>
        </w:rPr>
        <w:t xml:space="preserve">Prevalence ratio and difference in proportion compares proportion of young infants with </w:t>
      </w:r>
      <w:r w:rsidRPr="00C70555">
        <w:rPr>
          <w:rFonts w:cs="Arial"/>
          <w:lang w:val="en-US"/>
        </w:rPr>
        <w:t xml:space="preserve">complete early vaccination </w:t>
      </w:r>
      <w:r>
        <w:rPr>
          <w:rFonts w:cs="Arial"/>
          <w:lang w:val="en-US"/>
        </w:rPr>
        <w:t>in the respective intervention communities with the proportion in the control communities, among births during the intervention period, adjusted for baseline. Negative binomial regression model adjusted for baseline vaccination coverage in the community, used for prevalence ratios and linear regression used to estimate difference in proportion, with robust cluster variance by community.</w:t>
      </w:r>
    </w:p>
    <w:p w14:paraId="2592D315" w14:textId="77777777" w:rsidR="008804CD" w:rsidRDefault="008804CD" w:rsidP="008804CD">
      <w:pPr>
        <w:spacing w:after="120" w:line="240" w:lineRule="auto"/>
        <w:rPr>
          <w:rFonts w:cs="Arial"/>
          <w:lang w:val="en-US"/>
        </w:rPr>
      </w:pPr>
      <w:r>
        <w:rPr>
          <w:rFonts w:cs="Arial"/>
          <w:vertAlign w:val="superscript"/>
          <w:lang w:val="en-US"/>
        </w:rPr>
        <w:t>3</w:t>
      </w:r>
      <w:r>
        <w:rPr>
          <w:rFonts w:cs="Arial"/>
          <w:lang w:val="en-US"/>
        </w:rPr>
        <w:t xml:space="preserve"> Difference in proportion compares proportion of young infants with </w:t>
      </w:r>
      <w:r w:rsidRPr="00C70555">
        <w:rPr>
          <w:rFonts w:cs="Arial"/>
          <w:lang w:val="en-US"/>
        </w:rPr>
        <w:t xml:space="preserve">complete early vaccination </w:t>
      </w:r>
      <w:r>
        <w:rPr>
          <w:rFonts w:cs="Arial"/>
          <w:lang w:val="en-US"/>
        </w:rPr>
        <w:t>in the respective intervention communities with the proportion in the control communities, among births during the intervention period, adjusted for baseline. Negative binomial regression model adjusted for baseline vaccination coverage in the community, used for prevalence ratios and linear regression used to estimate difference in proportion, with robust cluster variance by community.</w:t>
      </w:r>
    </w:p>
    <w:p w14:paraId="0CB88EDE" w14:textId="77777777" w:rsidR="008804CD" w:rsidRDefault="008804CD" w:rsidP="008804CD">
      <w:pPr>
        <w:spacing w:after="120" w:line="240" w:lineRule="auto"/>
        <w:rPr>
          <w:rFonts w:cs="Arial"/>
          <w:lang w:val="en-US"/>
        </w:rPr>
      </w:pPr>
      <w:r>
        <w:rPr>
          <w:rFonts w:cs="Arial"/>
          <w:vertAlign w:val="superscript"/>
          <w:lang w:val="en-US"/>
        </w:rPr>
        <w:t>4</w:t>
      </w:r>
      <w:r w:rsidRPr="00C5711E">
        <w:rPr>
          <w:rFonts w:cs="Arial"/>
          <w:vertAlign w:val="superscript"/>
          <w:lang w:val="en-US"/>
        </w:rPr>
        <w:t xml:space="preserve"> </w:t>
      </w:r>
      <w:r w:rsidRPr="00C70555">
        <w:rPr>
          <w:rFonts w:cs="Arial"/>
          <w:lang w:val="en-US"/>
        </w:rPr>
        <w:t>Among the population of women identified in the endline census, comparing births in intervention communities (reminder) that were documented by CHVs /enrolled in the intervention, but were never successfully reached by the GEVaP program, t</w:t>
      </w:r>
      <w:r>
        <w:rPr>
          <w:rFonts w:cs="Arial"/>
          <w:lang w:val="en-US"/>
        </w:rPr>
        <w:t>o births in control communities</w:t>
      </w:r>
    </w:p>
    <w:p w14:paraId="1F4DA401" w14:textId="77777777" w:rsidR="008804CD" w:rsidRDefault="008804CD" w:rsidP="008804CD">
      <w:pPr>
        <w:spacing w:after="120" w:line="240" w:lineRule="auto"/>
        <w:rPr>
          <w:rFonts w:cs="Arial"/>
          <w:lang w:val="en-US"/>
        </w:rPr>
      </w:pPr>
      <w:r>
        <w:rPr>
          <w:rFonts w:cs="Arial"/>
          <w:vertAlign w:val="superscript"/>
          <w:lang w:val="en-US"/>
        </w:rPr>
        <w:t xml:space="preserve">5 </w:t>
      </w:r>
      <w:r w:rsidRPr="00C70555">
        <w:rPr>
          <w:rFonts w:cs="Arial"/>
          <w:lang w:val="en-US"/>
        </w:rPr>
        <w:t>Among the population of women identified in the endline census, comparing births in intervention communities (reminder) that were documented by CHVs /enrolled in the intervention, and were successfully reached by the GEVaP program at least once, to births in control communities</w:t>
      </w:r>
      <w:r>
        <w:rPr>
          <w:rFonts w:cs="Arial"/>
          <w:lang w:val="en-US"/>
        </w:rPr>
        <w:t xml:space="preserve"> </w:t>
      </w:r>
    </w:p>
    <w:p w14:paraId="00998D8A" w14:textId="515DEB17" w:rsidR="008804CD" w:rsidRDefault="008804CD" w:rsidP="008804CD">
      <w:pPr>
        <w:spacing w:after="120" w:line="240" w:lineRule="auto"/>
        <w:rPr>
          <w:rFonts w:cs="Arial"/>
          <w:lang w:val="en-US"/>
        </w:rPr>
      </w:pPr>
      <w:r>
        <w:rPr>
          <w:rFonts w:cs="Arial"/>
          <w:vertAlign w:val="superscript"/>
          <w:lang w:val="en-US"/>
        </w:rPr>
        <w:t xml:space="preserve">6 </w:t>
      </w:r>
      <w:r w:rsidRPr="00C70555">
        <w:rPr>
          <w:rFonts w:cs="Arial"/>
          <w:lang w:val="en-US"/>
        </w:rPr>
        <w:t>Among the population of women identified in the endline census, comparing births in intervention communities (incentive)) that were documented by CHVs /enrolled in the intervention, to births in control communities</w:t>
      </w:r>
    </w:p>
    <w:p w14:paraId="1DD78C13" w14:textId="77777777" w:rsidR="008804CD" w:rsidRDefault="008804CD" w:rsidP="008804CD">
      <w:pPr>
        <w:spacing w:after="120" w:line="240" w:lineRule="auto"/>
        <w:rPr>
          <w:rFonts w:cs="Arial"/>
          <w:lang w:val="en-US"/>
        </w:rPr>
      </w:pPr>
      <w:r w:rsidRPr="00C5711E">
        <w:rPr>
          <w:rFonts w:cs="Arial"/>
          <w:vertAlign w:val="superscript"/>
          <w:lang w:val="en-US"/>
        </w:rPr>
        <w:lastRenderedPageBreak/>
        <w:t>7</w:t>
      </w:r>
      <w:r>
        <w:rPr>
          <w:rFonts w:cs="Arial"/>
          <w:lang w:val="en-US"/>
        </w:rPr>
        <w:t xml:space="preserve"> Relates to the number and proportion of individuals in the respective treatment arm, based on per-protocol (as-treated) classification, who were vaccinated on time, The numerator is the number of individuals per treatment group as the intervention was received who were vaccinated with one dose of polio vaccine within 14 days of life and BCG vaccine within 28 days, and the numerator in the number of individuals in the treatment group as the intervention was received. </w:t>
      </w:r>
    </w:p>
    <w:p w14:paraId="6922C937" w14:textId="77777777" w:rsidR="00196CDC" w:rsidRDefault="00196CDC" w:rsidP="008804CD">
      <w:pPr>
        <w:rPr>
          <w:rFonts w:cs="Arial"/>
          <w:lang w:val="en-US"/>
        </w:rPr>
      </w:pPr>
    </w:p>
    <w:sectPr w:rsidR="00196CDC" w:rsidSect="0051787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CC64" w14:textId="77777777" w:rsidR="00C66092" w:rsidRDefault="00C66092" w:rsidP="006E7D46">
      <w:pPr>
        <w:spacing w:after="0" w:line="240" w:lineRule="auto"/>
      </w:pPr>
      <w:r>
        <w:separator/>
      </w:r>
    </w:p>
  </w:endnote>
  <w:endnote w:type="continuationSeparator" w:id="0">
    <w:p w14:paraId="2900802D" w14:textId="77777777" w:rsidR="00C66092" w:rsidRDefault="00C66092" w:rsidP="006E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E7D2" w14:textId="77777777" w:rsidR="00AB389B" w:rsidRDefault="00AB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49279"/>
      <w:docPartObj>
        <w:docPartGallery w:val="Page Numbers (Bottom of Page)"/>
        <w:docPartUnique/>
      </w:docPartObj>
    </w:sdtPr>
    <w:sdtEndPr/>
    <w:sdtContent>
      <w:sdt>
        <w:sdtPr>
          <w:id w:val="-1705238520"/>
          <w:docPartObj>
            <w:docPartGallery w:val="Page Numbers (Top of Page)"/>
            <w:docPartUnique/>
          </w:docPartObj>
        </w:sdtPr>
        <w:sdtEndPr/>
        <w:sdtContent>
          <w:p w14:paraId="38D8B286" w14:textId="55757777" w:rsidR="00AB389B" w:rsidRDefault="00AB38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B0C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C68">
              <w:rPr>
                <w:b/>
                <w:bCs/>
                <w:noProof/>
              </w:rPr>
              <w:t>2</w:t>
            </w:r>
            <w:r>
              <w:rPr>
                <w:b/>
                <w:bCs/>
                <w:sz w:val="24"/>
                <w:szCs w:val="24"/>
              </w:rPr>
              <w:fldChar w:fldCharType="end"/>
            </w:r>
          </w:p>
        </w:sdtContent>
      </w:sdt>
    </w:sdtContent>
  </w:sdt>
  <w:p w14:paraId="16136F4E" w14:textId="77777777" w:rsidR="00AB389B" w:rsidRDefault="00AB3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8386" w14:textId="77777777" w:rsidR="00AB389B" w:rsidRDefault="00AB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B5A4" w14:textId="77777777" w:rsidR="00C66092" w:rsidRDefault="00C66092" w:rsidP="006E7D46">
      <w:pPr>
        <w:spacing w:after="0" w:line="240" w:lineRule="auto"/>
      </w:pPr>
      <w:r>
        <w:separator/>
      </w:r>
    </w:p>
  </w:footnote>
  <w:footnote w:type="continuationSeparator" w:id="0">
    <w:p w14:paraId="6793AE8B" w14:textId="77777777" w:rsidR="00C66092" w:rsidRDefault="00C66092" w:rsidP="006E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C944" w14:textId="77777777" w:rsidR="00AB389B" w:rsidRDefault="00AB3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2AD0" w14:textId="77777777" w:rsidR="00AB389B" w:rsidRDefault="00AB3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3325" w14:textId="77777777" w:rsidR="00AB389B" w:rsidRDefault="00AB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80"/>
    <w:multiLevelType w:val="multilevel"/>
    <w:tmpl w:val="E1503E30"/>
    <w:lvl w:ilvl="0">
      <w:start w:val="1"/>
      <w:numFmt w:val="decimal"/>
      <w:lvlText w:val="%1.0"/>
      <w:lvlJc w:val="left"/>
      <w:pPr>
        <w:ind w:left="370" w:hanging="370"/>
      </w:pPr>
      <w:rPr>
        <w:rFonts w:hint="default"/>
      </w:rPr>
    </w:lvl>
    <w:lvl w:ilvl="1">
      <w:start w:val="1"/>
      <w:numFmt w:val="decimal"/>
      <w:lvlText w:val="%1.%2"/>
      <w:lvlJc w:val="left"/>
      <w:pPr>
        <w:ind w:left="1078" w:hanging="3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58C6A74"/>
    <w:multiLevelType w:val="hybridMultilevel"/>
    <w:tmpl w:val="2B8849CA"/>
    <w:lvl w:ilvl="0" w:tplc="1C66E1D4">
      <w:start w:val="1"/>
      <w:numFmt w:val="bullet"/>
      <w:lvlText w:val=""/>
      <w:lvlJc w:val="left"/>
      <w:pPr>
        <w:ind w:left="284" w:hanging="171"/>
      </w:pPr>
      <w:rPr>
        <w:rFonts w:ascii="Symbol" w:hAnsi="Symbol" w:hint="default"/>
      </w:rPr>
    </w:lvl>
    <w:lvl w:ilvl="1" w:tplc="08070003" w:tentative="1">
      <w:start w:val="1"/>
      <w:numFmt w:val="bullet"/>
      <w:lvlText w:val="o"/>
      <w:lvlJc w:val="left"/>
      <w:pPr>
        <w:ind w:left="1750" w:hanging="360"/>
      </w:pPr>
      <w:rPr>
        <w:rFonts w:ascii="Courier New" w:hAnsi="Courier New" w:cs="Courier New" w:hint="default"/>
      </w:rPr>
    </w:lvl>
    <w:lvl w:ilvl="2" w:tplc="08070005" w:tentative="1">
      <w:start w:val="1"/>
      <w:numFmt w:val="bullet"/>
      <w:lvlText w:val=""/>
      <w:lvlJc w:val="left"/>
      <w:pPr>
        <w:ind w:left="2470" w:hanging="360"/>
      </w:pPr>
      <w:rPr>
        <w:rFonts w:ascii="Wingdings" w:hAnsi="Wingdings" w:hint="default"/>
      </w:rPr>
    </w:lvl>
    <w:lvl w:ilvl="3" w:tplc="08070001" w:tentative="1">
      <w:start w:val="1"/>
      <w:numFmt w:val="bullet"/>
      <w:lvlText w:val=""/>
      <w:lvlJc w:val="left"/>
      <w:pPr>
        <w:ind w:left="3190" w:hanging="360"/>
      </w:pPr>
      <w:rPr>
        <w:rFonts w:ascii="Symbol" w:hAnsi="Symbol" w:hint="default"/>
      </w:rPr>
    </w:lvl>
    <w:lvl w:ilvl="4" w:tplc="08070003" w:tentative="1">
      <w:start w:val="1"/>
      <w:numFmt w:val="bullet"/>
      <w:lvlText w:val="o"/>
      <w:lvlJc w:val="left"/>
      <w:pPr>
        <w:ind w:left="3910" w:hanging="360"/>
      </w:pPr>
      <w:rPr>
        <w:rFonts w:ascii="Courier New" w:hAnsi="Courier New" w:cs="Courier New" w:hint="default"/>
      </w:rPr>
    </w:lvl>
    <w:lvl w:ilvl="5" w:tplc="08070005" w:tentative="1">
      <w:start w:val="1"/>
      <w:numFmt w:val="bullet"/>
      <w:lvlText w:val=""/>
      <w:lvlJc w:val="left"/>
      <w:pPr>
        <w:ind w:left="4630" w:hanging="360"/>
      </w:pPr>
      <w:rPr>
        <w:rFonts w:ascii="Wingdings" w:hAnsi="Wingdings" w:hint="default"/>
      </w:rPr>
    </w:lvl>
    <w:lvl w:ilvl="6" w:tplc="08070001" w:tentative="1">
      <w:start w:val="1"/>
      <w:numFmt w:val="bullet"/>
      <w:lvlText w:val=""/>
      <w:lvlJc w:val="left"/>
      <w:pPr>
        <w:ind w:left="5350" w:hanging="360"/>
      </w:pPr>
      <w:rPr>
        <w:rFonts w:ascii="Symbol" w:hAnsi="Symbol" w:hint="default"/>
      </w:rPr>
    </w:lvl>
    <w:lvl w:ilvl="7" w:tplc="08070003" w:tentative="1">
      <w:start w:val="1"/>
      <w:numFmt w:val="bullet"/>
      <w:lvlText w:val="o"/>
      <w:lvlJc w:val="left"/>
      <w:pPr>
        <w:ind w:left="6070" w:hanging="360"/>
      </w:pPr>
      <w:rPr>
        <w:rFonts w:ascii="Courier New" w:hAnsi="Courier New" w:cs="Courier New" w:hint="default"/>
      </w:rPr>
    </w:lvl>
    <w:lvl w:ilvl="8" w:tplc="08070005" w:tentative="1">
      <w:start w:val="1"/>
      <w:numFmt w:val="bullet"/>
      <w:lvlText w:val=""/>
      <w:lvlJc w:val="left"/>
      <w:pPr>
        <w:ind w:left="6790" w:hanging="360"/>
      </w:pPr>
      <w:rPr>
        <w:rFonts w:ascii="Wingdings" w:hAnsi="Wingdings" w:hint="default"/>
      </w:rPr>
    </w:lvl>
  </w:abstractNum>
  <w:abstractNum w:abstractNumId="2" w15:restartNumberingAfterBreak="0">
    <w:nsid w:val="193E20B2"/>
    <w:multiLevelType w:val="multilevel"/>
    <w:tmpl w:val="00A63E18"/>
    <w:lvl w:ilvl="0">
      <w:start w:val="1"/>
      <w:numFmt w:val="decimal"/>
      <w:lvlText w:val="%1.0"/>
      <w:lvlJc w:val="left"/>
      <w:pPr>
        <w:ind w:left="730" w:hanging="360"/>
      </w:pPr>
      <w:rPr>
        <w:rFonts w:hint="default"/>
      </w:rPr>
    </w:lvl>
    <w:lvl w:ilvl="1">
      <w:start w:val="1"/>
      <w:numFmt w:val="decimal"/>
      <w:lvlText w:val="%1.%2"/>
      <w:lvlJc w:val="left"/>
      <w:pPr>
        <w:ind w:left="1438" w:hanging="360"/>
      </w:pPr>
      <w:rPr>
        <w:rFonts w:hint="default"/>
      </w:rPr>
    </w:lvl>
    <w:lvl w:ilvl="2">
      <w:start w:val="1"/>
      <w:numFmt w:val="decimal"/>
      <w:lvlText w:val="%1.%2.%3"/>
      <w:lvlJc w:val="left"/>
      <w:pPr>
        <w:ind w:left="2506" w:hanging="720"/>
      </w:pPr>
      <w:rPr>
        <w:rFonts w:hint="default"/>
      </w:rPr>
    </w:lvl>
    <w:lvl w:ilvl="3">
      <w:start w:val="1"/>
      <w:numFmt w:val="decimal"/>
      <w:lvlText w:val="%1.%2.%3.%4"/>
      <w:lvlJc w:val="left"/>
      <w:pPr>
        <w:ind w:left="3214" w:hanging="720"/>
      </w:pPr>
      <w:rPr>
        <w:rFonts w:hint="default"/>
      </w:rPr>
    </w:lvl>
    <w:lvl w:ilvl="4">
      <w:start w:val="1"/>
      <w:numFmt w:val="decimal"/>
      <w:lvlText w:val="%1.%2.%3.%4.%5"/>
      <w:lvlJc w:val="left"/>
      <w:pPr>
        <w:ind w:left="4282"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058" w:hanging="1440"/>
      </w:pPr>
      <w:rPr>
        <w:rFonts w:hint="default"/>
      </w:rPr>
    </w:lvl>
    <w:lvl w:ilvl="7">
      <w:start w:val="1"/>
      <w:numFmt w:val="decimal"/>
      <w:lvlText w:val="%1.%2.%3.%4.%5.%6.%7.%8"/>
      <w:lvlJc w:val="left"/>
      <w:pPr>
        <w:ind w:left="6766" w:hanging="1440"/>
      </w:pPr>
      <w:rPr>
        <w:rFonts w:hint="default"/>
      </w:rPr>
    </w:lvl>
    <w:lvl w:ilvl="8">
      <w:start w:val="1"/>
      <w:numFmt w:val="decimal"/>
      <w:lvlText w:val="%1.%2.%3.%4.%5.%6.%7.%8.%9"/>
      <w:lvlJc w:val="left"/>
      <w:pPr>
        <w:ind w:left="7834" w:hanging="1800"/>
      </w:pPr>
      <w:rPr>
        <w:rFonts w:hint="default"/>
      </w:rPr>
    </w:lvl>
  </w:abstractNum>
  <w:abstractNum w:abstractNumId="3" w15:restartNumberingAfterBreak="0">
    <w:nsid w:val="1DA87568"/>
    <w:multiLevelType w:val="hybridMultilevel"/>
    <w:tmpl w:val="EFF29DB0"/>
    <w:lvl w:ilvl="0" w:tplc="08070001">
      <w:start w:val="1"/>
      <w:numFmt w:val="bullet"/>
      <w:lvlText w:val=""/>
      <w:lvlJc w:val="left"/>
      <w:pPr>
        <w:ind w:left="833" w:hanging="360"/>
      </w:pPr>
      <w:rPr>
        <w:rFonts w:ascii="Symbol" w:hAnsi="Symbol" w:hint="default"/>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2D670A79"/>
    <w:multiLevelType w:val="hybridMultilevel"/>
    <w:tmpl w:val="089A7CFC"/>
    <w:lvl w:ilvl="0" w:tplc="45AAE87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436AF8"/>
    <w:multiLevelType w:val="hybridMultilevel"/>
    <w:tmpl w:val="364A0042"/>
    <w:lvl w:ilvl="0" w:tplc="24F2BFEC">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80D6793"/>
    <w:multiLevelType w:val="hybridMultilevel"/>
    <w:tmpl w:val="2F7AA554"/>
    <w:lvl w:ilvl="0" w:tplc="D4CC295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9837676"/>
    <w:multiLevelType w:val="multilevel"/>
    <w:tmpl w:val="C0F61EDE"/>
    <w:lvl w:ilvl="0">
      <w:start w:val="1"/>
      <w:numFmt w:val="decimal"/>
      <w:lvlText w:val="%1.0"/>
      <w:lvlJc w:val="left"/>
      <w:pPr>
        <w:ind w:left="1150" w:hanging="420"/>
      </w:pPr>
      <w:rPr>
        <w:rFonts w:hint="default"/>
      </w:rPr>
    </w:lvl>
    <w:lvl w:ilvl="1">
      <w:start w:val="1"/>
      <w:numFmt w:val="decimalZero"/>
      <w:lvlText w:val="%1.%2"/>
      <w:lvlJc w:val="left"/>
      <w:pPr>
        <w:ind w:left="1858" w:hanging="420"/>
      </w:pPr>
      <w:rPr>
        <w:rFonts w:hint="default"/>
      </w:rPr>
    </w:lvl>
    <w:lvl w:ilvl="2">
      <w:start w:val="1"/>
      <w:numFmt w:val="decimal"/>
      <w:lvlText w:val="%1.%2.%3"/>
      <w:lvlJc w:val="left"/>
      <w:pPr>
        <w:ind w:left="2866" w:hanging="720"/>
      </w:pPr>
      <w:rPr>
        <w:rFonts w:hint="default"/>
      </w:rPr>
    </w:lvl>
    <w:lvl w:ilvl="3">
      <w:start w:val="1"/>
      <w:numFmt w:val="decimal"/>
      <w:lvlText w:val="%1.%2.%3.%4"/>
      <w:lvlJc w:val="left"/>
      <w:pPr>
        <w:ind w:left="3574" w:hanging="720"/>
      </w:pPr>
      <w:rPr>
        <w:rFonts w:hint="default"/>
      </w:rPr>
    </w:lvl>
    <w:lvl w:ilvl="4">
      <w:start w:val="1"/>
      <w:numFmt w:val="decimal"/>
      <w:lvlText w:val="%1.%2.%3.%4.%5"/>
      <w:lvlJc w:val="left"/>
      <w:pPr>
        <w:ind w:left="4642"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418" w:hanging="1440"/>
      </w:pPr>
      <w:rPr>
        <w:rFonts w:hint="default"/>
      </w:rPr>
    </w:lvl>
    <w:lvl w:ilvl="7">
      <w:start w:val="1"/>
      <w:numFmt w:val="decimal"/>
      <w:lvlText w:val="%1.%2.%3.%4.%5.%6.%7.%8"/>
      <w:lvlJc w:val="left"/>
      <w:pPr>
        <w:ind w:left="7126" w:hanging="1440"/>
      </w:pPr>
      <w:rPr>
        <w:rFonts w:hint="default"/>
      </w:rPr>
    </w:lvl>
    <w:lvl w:ilvl="8">
      <w:start w:val="1"/>
      <w:numFmt w:val="decimal"/>
      <w:lvlText w:val="%1.%2.%3.%4.%5.%6.%7.%8.%9"/>
      <w:lvlJc w:val="left"/>
      <w:pPr>
        <w:ind w:left="8194" w:hanging="1800"/>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CH"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3"/>
    <w:rsid w:val="000062CD"/>
    <w:rsid w:val="00006EF8"/>
    <w:rsid w:val="000159AD"/>
    <w:rsid w:val="000171E0"/>
    <w:rsid w:val="000212D7"/>
    <w:rsid w:val="00036775"/>
    <w:rsid w:val="00036DE4"/>
    <w:rsid w:val="00043CFE"/>
    <w:rsid w:val="0009552A"/>
    <w:rsid w:val="000A0702"/>
    <w:rsid w:val="000A5BFA"/>
    <w:rsid w:val="000B04B1"/>
    <w:rsid w:val="000B052A"/>
    <w:rsid w:val="000B0C68"/>
    <w:rsid w:val="000D416C"/>
    <w:rsid w:val="000E37D2"/>
    <w:rsid w:val="000E5D88"/>
    <w:rsid w:val="000E61D0"/>
    <w:rsid w:val="000F5D2F"/>
    <w:rsid w:val="0010401E"/>
    <w:rsid w:val="00105CC5"/>
    <w:rsid w:val="00105EFE"/>
    <w:rsid w:val="00123AD6"/>
    <w:rsid w:val="0013135F"/>
    <w:rsid w:val="00135428"/>
    <w:rsid w:val="00135C66"/>
    <w:rsid w:val="00135EBD"/>
    <w:rsid w:val="00140F3F"/>
    <w:rsid w:val="0015137B"/>
    <w:rsid w:val="00154AC9"/>
    <w:rsid w:val="00156828"/>
    <w:rsid w:val="00170516"/>
    <w:rsid w:val="00182D75"/>
    <w:rsid w:val="00190205"/>
    <w:rsid w:val="00192B41"/>
    <w:rsid w:val="00195ACC"/>
    <w:rsid w:val="00196CDC"/>
    <w:rsid w:val="001B24FF"/>
    <w:rsid w:val="001B2850"/>
    <w:rsid w:val="001B6CB4"/>
    <w:rsid w:val="001C0D6D"/>
    <w:rsid w:val="001D0561"/>
    <w:rsid w:val="001E2D5E"/>
    <w:rsid w:val="001F3F7E"/>
    <w:rsid w:val="001F7E0C"/>
    <w:rsid w:val="00200CB5"/>
    <w:rsid w:val="002046C2"/>
    <w:rsid w:val="00206791"/>
    <w:rsid w:val="00206C52"/>
    <w:rsid w:val="0021631E"/>
    <w:rsid w:val="00221894"/>
    <w:rsid w:val="00230479"/>
    <w:rsid w:val="00230EE0"/>
    <w:rsid w:val="002427F3"/>
    <w:rsid w:val="002530DF"/>
    <w:rsid w:val="00256BF0"/>
    <w:rsid w:val="00256F84"/>
    <w:rsid w:val="00262173"/>
    <w:rsid w:val="002732E2"/>
    <w:rsid w:val="00281F2C"/>
    <w:rsid w:val="0028366A"/>
    <w:rsid w:val="00285B14"/>
    <w:rsid w:val="002A1BDC"/>
    <w:rsid w:val="002A3E26"/>
    <w:rsid w:val="002A42B5"/>
    <w:rsid w:val="002A6DFC"/>
    <w:rsid w:val="002A6E16"/>
    <w:rsid w:val="002A7DF9"/>
    <w:rsid w:val="002B16D2"/>
    <w:rsid w:val="002C7F19"/>
    <w:rsid w:val="002D004F"/>
    <w:rsid w:val="002D3964"/>
    <w:rsid w:val="002D7501"/>
    <w:rsid w:val="002E0586"/>
    <w:rsid w:val="002F1F26"/>
    <w:rsid w:val="002F2856"/>
    <w:rsid w:val="002F40A2"/>
    <w:rsid w:val="00304E9D"/>
    <w:rsid w:val="00304F75"/>
    <w:rsid w:val="0030581F"/>
    <w:rsid w:val="00310A82"/>
    <w:rsid w:val="0031124C"/>
    <w:rsid w:val="00312329"/>
    <w:rsid w:val="0031434B"/>
    <w:rsid w:val="00314734"/>
    <w:rsid w:val="00314FDF"/>
    <w:rsid w:val="003211F3"/>
    <w:rsid w:val="00326A29"/>
    <w:rsid w:val="00344E7F"/>
    <w:rsid w:val="0034592B"/>
    <w:rsid w:val="00351064"/>
    <w:rsid w:val="0035202D"/>
    <w:rsid w:val="0035318B"/>
    <w:rsid w:val="0036726A"/>
    <w:rsid w:val="003719EF"/>
    <w:rsid w:val="0037235C"/>
    <w:rsid w:val="00377A78"/>
    <w:rsid w:val="003802EA"/>
    <w:rsid w:val="00390E5B"/>
    <w:rsid w:val="003A0393"/>
    <w:rsid w:val="003A50AF"/>
    <w:rsid w:val="003A6680"/>
    <w:rsid w:val="003A6BDC"/>
    <w:rsid w:val="003B3ED4"/>
    <w:rsid w:val="003C0483"/>
    <w:rsid w:val="003C15A6"/>
    <w:rsid w:val="003C317A"/>
    <w:rsid w:val="003C4CA7"/>
    <w:rsid w:val="003D0CFA"/>
    <w:rsid w:val="003D54F9"/>
    <w:rsid w:val="003D7BA3"/>
    <w:rsid w:val="003E079A"/>
    <w:rsid w:val="003F039D"/>
    <w:rsid w:val="003F152C"/>
    <w:rsid w:val="003F2284"/>
    <w:rsid w:val="004220A1"/>
    <w:rsid w:val="004300EF"/>
    <w:rsid w:val="004450F2"/>
    <w:rsid w:val="00446636"/>
    <w:rsid w:val="00454552"/>
    <w:rsid w:val="004551DD"/>
    <w:rsid w:val="00466991"/>
    <w:rsid w:val="00470487"/>
    <w:rsid w:val="00471712"/>
    <w:rsid w:val="0047344F"/>
    <w:rsid w:val="00476173"/>
    <w:rsid w:val="004807B3"/>
    <w:rsid w:val="00482609"/>
    <w:rsid w:val="00482920"/>
    <w:rsid w:val="00486921"/>
    <w:rsid w:val="00493677"/>
    <w:rsid w:val="00494C55"/>
    <w:rsid w:val="00495EC9"/>
    <w:rsid w:val="004A670E"/>
    <w:rsid w:val="004A7730"/>
    <w:rsid w:val="004B13EF"/>
    <w:rsid w:val="004B2069"/>
    <w:rsid w:val="004B5ED7"/>
    <w:rsid w:val="004D1E4C"/>
    <w:rsid w:val="004D2928"/>
    <w:rsid w:val="004D6F1A"/>
    <w:rsid w:val="004F54B2"/>
    <w:rsid w:val="00505FD2"/>
    <w:rsid w:val="00517875"/>
    <w:rsid w:val="005233D5"/>
    <w:rsid w:val="0052590D"/>
    <w:rsid w:val="0052616E"/>
    <w:rsid w:val="005317AA"/>
    <w:rsid w:val="0053254D"/>
    <w:rsid w:val="00533BB9"/>
    <w:rsid w:val="00537DEA"/>
    <w:rsid w:val="0054085E"/>
    <w:rsid w:val="00541F30"/>
    <w:rsid w:val="00552AF9"/>
    <w:rsid w:val="00555675"/>
    <w:rsid w:val="0055724A"/>
    <w:rsid w:val="005621EA"/>
    <w:rsid w:val="005706E1"/>
    <w:rsid w:val="00583428"/>
    <w:rsid w:val="00584E25"/>
    <w:rsid w:val="00587538"/>
    <w:rsid w:val="00593736"/>
    <w:rsid w:val="00594BF1"/>
    <w:rsid w:val="00597A62"/>
    <w:rsid w:val="005A0FE5"/>
    <w:rsid w:val="005A2361"/>
    <w:rsid w:val="005A2B09"/>
    <w:rsid w:val="005A5BCE"/>
    <w:rsid w:val="005B1BFA"/>
    <w:rsid w:val="005C4CFC"/>
    <w:rsid w:val="005D1AE7"/>
    <w:rsid w:val="005D58E0"/>
    <w:rsid w:val="005D6AB6"/>
    <w:rsid w:val="005E0527"/>
    <w:rsid w:val="005F1325"/>
    <w:rsid w:val="006003C9"/>
    <w:rsid w:val="0061323A"/>
    <w:rsid w:val="006133DF"/>
    <w:rsid w:val="00620115"/>
    <w:rsid w:val="00620669"/>
    <w:rsid w:val="00625070"/>
    <w:rsid w:val="006273B1"/>
    <w:rsid w:val="0063611F"/>
    <w:rsid w:val="00646026"/>
    <w:rsid w:val="00655136"/>
    <w:rsid w:val="00656430"/>
    <w:rsid w:val="006616C3"/>
    <w:rsid w:val="00665BA3"/>
    <w:rsid w:val="00670946"/>
    <w:rsid w:val="00671865"/>
    <w:rsid w:val="0067277C"/>
    <w:rsid w:val="0067514C"/>
    <w:rsid w:val="0068339C"/>
    <w:rsid w:val="00685EC8"/>
    <w:rsid w:val="0069128E"/>
    <w:rsid w:val="00693C17"/>
    <w:rsid w:val="00697E64"/>
    <w:rsid w:val="006A56F0"/>
    <w:rsid w:val="006B1D3B"/>
    <w:rsid w:val="006B3FBE"/>
    <w:rsid w:val="006C2962"/>
    <w:rsid w:val="006C4C75"/>
    <w:rsid w:val="006D1B2E"/>
    <w:rsid w:val="006E0540"/>
    <w:rsid w:val="006E0BAD"/>
    <w:rsid w:val="006E7D46"/>
    <w:rsid w:val="006F05C8"/>
    <w:rsid w:val="006F329F"/>
    <w:rsid w:val="006F4BCB"/>
    <w:rsid w:val="006F4C08"/>
    <w:rsid w:val="0070145A"/>
    <w:rsid w:val="0071027B"/>
    <w:rsid w:val="00710D42"/>
    <w:rsid w:val="00714DF5"/>
    <w:rsid w:val="007155CF"/>
    <w:rsid w:val="00720F77"/>
    <w:rsid w:val="00727D30"/>
    <w:rsid w:val="00731EDD"/>
    <w:rsid w:val="0073217A"/>
    <w:rsid w:val="00741720"/>
    <w:rsid w:val="0074482D"/>
    <w:rsid w:val="00750221"/>
    <w:rsid w:val="00756CAF"/>
    <w:rsid w:val="007651CE"/>
    <w:rsid w:val="007809DC"/>
    <w:rsid w:val="00783498"/>
    <w:rsid w:val="00783896"/>
    <w:rsid w:val="007850D1"/>
    <w:rsid w:val="007A0C97"/>
    <w:rsid w:val="007A4290"/>
    <w:rsid w:val="007A5AF1"/>
    <w:rsid w:val="007A73C5"/>
    <w:rsid w:val="007B046C"/>
    <w:rsid w:val="007C4F83"/>
    <w:rsid w:val="007D575A"/>
    <w:rsid w:val="007E01F3"/>
    <w:rsid w:val="007E1AAE"/>
    <w:rsid w:val="007F4670"/>
    <w:rsid w:val="007F48CF"/>
    <w:rsid w:val="007F5436"/>
    <w:rsid w:val="00820003"/>
    <w:rsid w:val="00821D4D"/>
    <w:rsid w:val="00823DCA"/>
    <w:rsid w:val="0083138A"/>
    <w:rsid w:val="008420D3"/>
    <w:rsid w:val="008427FD"/>
    <w:rsid w:val="00845221"/>
    <w:rsid w:val="00845569"/>
    <w:rsid w:val="0084775D"/>
    <w:rsid w:val="00853A30"/>
    <w:rsid w:val="008606F4"/>
    <w:rsid w:val="00870E6E"/>
    <w:rsid w:val="0087111E"/>
    <w:rsid w:val="00872E85"/>
    <w:rsid w:val="00873B91"/>
    <w:rsid w:val="00876A4E"/>
    <w:rsid w:val="008804CD"/>
    <w:rsid w:val="0089033B"/>
    <w:rsid w:val="008943BD"/>
    <w:rsid w:val="008A41D8"/>
    <w:rsid w:val="008A6093"/>
    <w:rsid w:val="008C04B3"/>
    <w:rsid w:val="008C0D39"/>
    <w:rsid w:val="008C30DA"/>
    <w:rsid w:val="008C5C0C"/>
    <w:rsid w:val="008D0494"/>
    <w:rsid w:val="008D483C"/>
    <w:rsid w:val="008E22DE"/>
    <w:rsid w:val="008E28F9"/>
    <w:rsid w:val="008F2FDF"/>
    <w:rsid w:val="008F3040"/>
    <w:rsid w:val="008F3C24"/>
    <w:rsid w:val="008F574D"/>
    <w:rsid w:val="008F5B6E"/>
    <w:rsid w:val="00923616"/>
    <w:rsid w:val="009260B1"/>
    <w:rsid w:val="009264EA"/>
    <w:rsid w:val="0092735D"/>
    <w:rsid w:val="00932B26"/>
    <w:rsid w:val="00937499"/>
    <w:rsid w:val="00941C42"/>
    <w:rsid w:val="00942175"/>
    <w:rsid w:val="00951628"/>
    <w:rsid w:val="00952A81"/>
    <w:rsid w:val="00953F15"/>
    <w:rsid w:val="00983333"/>
    <w:rsid w:val="00990413"/>
    <w:rsid w:val="009929FC"/>
    <w:rsid w:val="00993C9A"/>
    <w:rsid w:val="009A7186"/>
    <w:rsid w:val="009B1C70"/>
    <w:rsid w:val="009B7B00"/>
    <w:rsid w:val="009C6354"/>
    <w:rsid w:val="009D06BC"/>
    <w:rsid w:val="009D3FA4"/>
    <w:rsid w:val="009D53FF"/>
    <w:rsid w:val="009D62B7"/>
    <w:rsid w:val="009E0364"/>
    <w:rsid w:val="00A0576B"/>
    <w:rsid w:val="00A073A6"/>
    <w:rsid w:val="00A11683"/>
    <w:rsid w:val="00A21932"/>
    <w:rsid w:val="00A2410B"/>
    <w:rsid w:val="00A3006E"/>
    <w:rsid w:val="00A31BCD"/>
    <w:rsid w:val="00A33B53"/>
    <w:rsid w:val="00A36189"/>
    <w:rsid w:val="00A543FF"/>
    <w:rsid w:val="00A55B9B"/>
    <w:rsid w:val="00A71BF9"/>
    <w:rsid w:val="00A7585F"/>
    <w:rsid w:val="00A75E14"/>
    <w:rsid w:val="00A92E1E"/>
    <w:rsid w:val="00A970D2"/>
    <w:rsid w:val="00AA4588"/>
    <w:rsid w:val="00AA5C06"/>
    <w:rsid w:val="00AB1C07"/>
    <w:rsid w:val="00AB389B"/>
    <w:rsid w:val="00AC0515"/>
    <w:rsid w:val="00AC19AD"/>
    <w:rsid w:val="00AC3797"/>
    <w:rsid w:val="00AC458F"/>
    <w:rsid w:val="00AE13A5"/>
    <w:rsid w:val="00AE532C"/>
    <w:rsid w:val="00AF3872"/>
    <w:rsid w:val="00AF4DB7"/>
    <w:rsid w:val="00B01393"/>
    <w:rsid w:val="00B062B3"/>
    <w:rsid w:val="00B07E7F"/>
    <w:rsid w:val="00B2066F"/>
    <w:rsid w:val="00B24B02"/>
    <w:rsid w:val="00B25167"/>
    <w:rsid w:val="00B26942"/>
    <w:rsid w:val="00B269EE"/>
    <w:rsid w:val="00B346D1"/>
    <w:rsid w:val="00B41E05"/>
    <w:rsid w:val="00B514D6"/>
    <w:rsid w:val="00B522A2"/>
    <w:rsid w:val="00B5779E"/>
    <w:rsid w:val="00B6656F"/>
    <w:rsid w:val="00B67E1D"/>
    <w:rsid w:val="00B83716"/>
    <w:rsid w:val="00B9145B"/>
    <w:rsid w:val="00B9328E"/>
    <w:rsid w:val="00BA12F2"/>
    <w:rsid w:val="00BB01B3"/>
    <w:rsid w:val="00BB55AC"/>
    <w:rsid w:val="00BB7B02"/>
    <w:rsid w:val="00BB7B4F"/>
    <w:rsid w:val="00BC01B8"/>
    <w:rsid w:val="00BC59C7"/>
    <w:rsid w:val="00BD386A"/>
    <w:rsid w:val="00BD69D9"/>
    <w:rsid w:val="00BD6CF5"/>
    <w:rsid w:val="00BF1186"/>
    <w:rsid w:val="00BF2721"/>
    <w:rsid w:val="00BF7EAE"/>
    <w:rsid w:val="00C036E1"/>
    <w:rsid w:val="00C07305"/>
    <w:rsid w:val="00C12C8F"/>
    <w:rsid w:val="00C13A39"/>
    <w:rsid w:val="00C16406"/>
    <w:rsid w:val="00C26C09"/>
    <w:rsid w:val="00C272A1"/>
    <w:rsid w:val="00C30331"/>
    <w:rsid w:val="00C339CC"/>
    <w:rsid w:val="00C3418D"/>
    <w:rsid w:val="00C3441A"/>
    <w:rsid w:val="00C34DAA"/>
    <w:rsid w:val="00C4077A"/>
    <w:rsid w:val="00C43A39"/>
    <w:rsid w:val="00C47917"/>
    <w:rsid w:val="00C65859"/>
    <w:rsid w:val="00C66092"/>
    <w:rsid w:val="00C70555"/>
    <w:rsid w:val="00C714F1"/>
    <w:rsid w:val="00C74F78"/>
    <w:rsid w:val="00C761F3"/>
    <w:rsid w:val="00C77FB1"/>
    <w:rsid w:val="00C80D81"/>
    <w:rsid w:val="00C86205"/>
    <w:rsid w:val="00C86C33"/>
    <w:rsid w:val="00C871A3"/>
    <w:rsid w:val="00C91923"/>
    <w:rsid w:val="00CA6CD9"/>
    <w:rsid w:val="00CB265A"/>
    <w:rsid w:val="00CB57AC"/>
    <w:rsid w:val="00CC1594"/>
    <w:rsid w:val="00CC3FCD"/>
    <w:rsid w:val="00CF3696"/>
    <w:rsid w:val="00D034BC"/>
    <w:rsid w:val="00D1353C"/>
    <w:rsid w:val="00D14934"/>
    <w:rsid w:val="00D20033"/>
    <w:rsid w:val="00D210CF"/>
    <w:rsid w:val="00D3116F"/>
    <w:rsid w:val="00D43474"/>
    <w:rsid w:val="00D523B0"/>
    <w:rsid w:val="00D6233D"/>
    <w:rsid w:val="00D77D4F"/>
    <w:rsid w:val="00D86598"/>
    <w:rsid w:val="00D92A4D"/>
    <w:rsid w:val="00D94A5C"/>
    <w:rsid w:val="00D95A4A"/>
    <w:rsid w:val="00DA5D30"/>
    <w:rsid w:val="00DA7CD5"/>
    <w:rsid w:val="00DA7E73"/>
    <w:rsid w:val="00DB30C9"/>
    <w:rsid w:val="00DB634F"/>
    <w:rsid w:val="00DD22A5"/>
    <w:rsid w:val="00DE0A1F"/>
    <w:rsid w:val="00DE4DB4"/>
    <w:rsid w:val="00E00E81"/>
    <w:rsid w:val="00E12F1E"/>
    <w:rsid w:val="00E15199"/>
    <w:rsid w:val="00E233C4"/>
    <w:rsid w:val="00E33DC9"/>
    <w:rsid w:val="00E46DC6"/>
    <w:rsid w:val="00E4707A"/>
    <w:rsid w:val="00E52F97"/>
    <w:rsid w:val="00E5450B"/>
    <w:rsid w:val="00E60352"/>
    <w:rsid w:val="00E61B96"/>
    <w:rsid w:val="00E67AF8"/>
    <w:rsid w:val="00E67D5E"/>
    <w:rsid w:val="00E703C2"/>
    <w:rsid w:val="00E70BB6"/>
    <w:rsid w:val="00E75590"/>
    <w:rsid w:val="00E763CB"/>
    <w:rsid w:val="00E77B17"/>
    <w:rsid w:val="00E80FD2"/>
    <w:rsid w:val="00E83891"/>
    <w:rsid w:val="00E84C76"/>
    <w:rsid w:val="00E9508A"/>
    <w:rsid w:val="00E95360"/>
    <w:rsid w:val="00EB1285"/>
    <w:rsid w:val="00EB1954"/>
    <w:rsid w:val="00EC29C1"/>
    <w:rsid w:val="00EC4187"/>
    <w:rsid w:val="00EC6A65"/>
    <w:rsid w:val="00ED3647"/>
    <w:rsid w:val="00ED47A3"/>
    <w:rsid w:val="00EE0685"/>
    <w:rsid w:val="00EE34F7"/>
    <w:rsid w:val="00EE677D"/>
    <w:rsid w:val="00F01203"/>
    <w:rsid w:val="00F023C1"/>
    <w:rsid w:val="00F036B6"/>
    <w:rsid w:val="00F046E8"/>
    <w:rsid w:val="00F07CF0"/>
    <w:rsid w:val="00F10EBE"/>
    <w:rsid w:val="00F20034"/>
    <w:rsid w:val="00F239D5"/>
    <w:rsid w:val="00F32955"/>
    <w:rsid w:val="00F333FD"/>
    <w:rsid w:val="00F410BD"/>
    <w:rsid w:val="00F51D34"/>
    <w:rsid w:val="00F566A2"/>
    <w:rsid w:val="00F63DAD"/>
    <w:rsid w:val="00F64FC3"/>
    <w:rsid w:val="00F70722"/>
    <w:rsid w:val="00F713F3"/>
    <w:rsid w:val="00F80889"/>
    <w:rsid w:val="00F91AB8"/>
    <w:rsid w:val="00F94601"/>
    <w:rsid w:val="00F94C71"/>
    <w:rsid w:val="00F964B6"/>
    <w:rsid w:val="00F970E3"/>
    <w:rsid w:val="00FA2ADF"/>
    <w:rsid w:val="00FA38BE"/>
    <w:rsid w:val="00FA7FA7"/>
    <w:rsid w:val="00FD75F3"/>
    <w:rsid w:val="00FE0011"/>
    <w:rsid w:val="00FE3FDD"/>
    <w:rsid w:val="00FE5CA4"/>
    <w:rsid w:val="00FE7A72"/>
    <w:rsid w:val="00FF065A"/>
    <w:rsid w:val="00FF4D41"/>
    <w:rsid w:val="00FF7C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D60B"/>
  <w15:chartTrackingRefBased/>
  <w15:docId w15:val="{047DFC48-5B3B-41ED-B7CB-542B4CA1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E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040"/>
    <w:pPr>
      <w:ind w:left="720"/>
      <w:contextualSpacing/>
    </w:pPr>
  </w:style>
  <w:style w:type="paragraph" w:styleId="BalloonText">
    <w:name w:val="Balloon Text"/>
    <w:basedOn w:val="Normal"/>
    <w:link w:val="BalloonTextChar"/>
    <w:uiPriority w:val="99"/>
    <w:semiHidden/>
    <w:unhideWhenUsed/>
    <w:rsid w:val="00FA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A7"/>
    <w:rPr>
      <w:rFonts w:ascii="Segoe UI" w:hAnsi="Segoe UI" w:cs="Segoe UI"/>
      <w:sz w:val="18"/>
      <w:szCs w:val="18"/>
    </w:rPr>
  </w:style>
  <w:style w:type="character" w:styleId="PlaceholderText">
    <w:name w:val="Placeholder Text"/>
    <w:basedOn w:val="DefaultParagraphFont"/>
    <w:uiPriority w:val="99"/>
    <w:semiHidden/>
    <w:rsid w:val="00E703C2"/>
    <w:rPr>
      <w:color w:val="808080"/>
    </w:rPr>
  </w:style>
  <w:style w:type="character" w:styleId="CommentReference">
    <w:name w:val="annotation reference"/>
    <w:basedOn w:val="DefaultParagraphFont"/>
    <w:uiPriority w:val="99"/>
    <w:semiHidden/>
    <w:unhideWhenUsed/>
    <w:rsid w:val="00281F2C"/>
    <w:rPr>
      <w:sz w:val="16"/>
      <w:szCs w:val="16"/>
    </w:rPr>
  </w:style>
  <w:style w:type="paragraph" w:styleId="CommentText">
    <w:name w:val="annotation text"/>
    <w:basedOn w:val="Normal"/>
    <w:link w:val="CommentTextChar"/>
    <w:uiPriority w:val="99"/>
    <w:semiHidden/>
    <w:unhideWhenUsed/>
    <w:rsid w:val="00281F2C"/>
    <w:pPr>
      <w:spacing w:line="240" w:lineRule="auto"/>
    </w:pPr>
    <w:rPr>
      <w:sz w:val="20"/>
      <w:szCs w:val="20"/>
    </w:rPr>
  </w:style>
  <w:style w:type="character" w:customStyle="1" w:styleId="CommentTextChar">
    <w:name w:val="Comment Text Char"/>
    <w:basedOn w:val="DefaultParagraphFont"/>
    <w:link w:val="CommentText"/>
    <w:uiPriority w:val="99"/>
    <w:semiHidden/>
    <w:rsid w:val="00281F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F2C"/>
    <w:rPr>
      <w:b/>
      <w:bCs/>
    </w:rPr>
  </w:style>
  <w:style w:type="character" w:customStyle="1" w:styleId="CommentSubjectChar">
    <w:name w:val="Comment Subject Char"/>
    <w:basedOn w:val="CommentTextChar"/>
    <w:link w:val="CommentSubject"/>
    <w:uiPriority w:val="99"/>
    <w:semiHidden/>
    <w:rsid w:val="00281F2C"/>
    <w:rPr>
      <w:rFonts w:ascii="Arial" w:hAnsi="Arial"/>
      <w:b/>
      <w:bCs/>
      <w:sz w:val="20"/>
      <w:szCs w:val="20"/>
    </w:rPr>
  </w:style>
  <w:style w:type="paragraph" w:styleId="Header">
    <w:name w:val="header"/>
    <w:basedOn w:val="Normal"/>
    <w:link w:val="HeaderChar"/>
    <w:uiPriority w:val="99"/>
    <w:unhideWhenUsed/>
    <w:rsid w:val="006E7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46"/>
    <w:rPr>
      <w:rFonts w:ascii="Arial" w:hAnsi="Arial"/>
    </w:rPr>
  </w:style>
  <w:style w:type="paragraph" w:styleId="Footer">
    <w:name w:val="footer"/>
    <w:basedOn w:val="Normal"/>
    <w:link w:val="FooterChar"/>
    <w:uiPriority w:val="99"/>
    <w:unhideWhenUsed/>
    <w:rsid w:val="006E7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29235">
      <w:bodyDiv w:val="1"/>
      <w:marLeft w:val="0"/>
      <w:marRight w:val="0"/>
      <w:marTop w:val="0"/>
      <w:marBottom w:val="0"/>
      <w:divBdr>
        <w:top w:val="none" w:sz="0" w:space="0" w:color="auto"/>
        <w:left w:val="none" w:sz="0" w:space="0" w:color="auto"/>
        <w:bottom w:val="none" w:sz="0" w:space="0" w:color="auto"/>
        <w:right w:val="none" w:sz="0" w:space="0" w:color="auto"/>
      </w:divBdr>
    </w:div>
    <w:div w:id="899445123">
      <w:bodyDiv w:val="1"/>
      <w:marLeft w:val="0"/>
      <w:marRight w:val="0"/>
      <w:marTop w:val="0"/>
      <w:marBottom w:val="0"/>
      <w:divBdr>
        <w:top w:val="none" w:sz="0" w:space="0" w:color="auto"/>
        <w:left w:val="none" w:sz="0" w:space="0" w:color="auto"/>
        <w:bottom w:val="none" w:sz="0" w:space="0" w:color="auto"/>
        <w:right w:val="none" w:sz="0" w:space="0" w:color="auto"/>
      </w:divBdr>
    </w:div>
    <w:div w:id="13455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D5E9-8DB6-4DA0-8968-D0F61C7A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Levine</dc:creator>
  <cp:keywords/>
  <dc:description/>
  <cp:lastModifiedBy>Gillian Levine</cp:lastModifiedBy>
  <cp:revision>4</cp:revision>
  <cp:lastPrinted>2020-07-21T11:22:00Z</cp:lastPrinted>
  <dcterms:created xsi:type="dcterms:W3CDTF">2020-12-29T15:49:00Z</dcterms:created>
  <dcterms:modified xsi:type="dcterms:W3CDTF">2020-12-29T16:26:00Z</dcterms:modified>
</cp:coreProperties>
</file>