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F6D7" w14:textId="77777777" w:rsidR="00E95BA0" w:rsidRPr="00AD3152" w:rsidRDefault="00E95BA0" w:rsidP="00E95BA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S6</w:t>
      </w:r>
      <w:r w:rsidRPr="00AD315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Table</w:t>
      </w:r>
      <w:r w:rsidRPr="00AD3152">
        <w:rPr>
          <w:rFonts w:ascii="Arial" w:hAnsi="Arial" w:cs="Arial"/>
          <w:b/>
          <w:sz w:val="21"/>
          <w:szCs w:val="21"/>
        </w:rPr>
        <w:t>. Association</w:t>
      </w:r>
      <w:r w:rsidRPr="00AD3152">
        <w:rPr>
          <w:rFonts w:ascii="Arial" w:hAnsi="Arial" w:cs="Arial" w:hint="eastAsia"/>
          <w:b/>
          <w:sz w:val="21"/>
          <w:szCs w:val="21"/>
        </w:rPr>
        <w:t>s</w:t>
      </w:r>
      <w:r w:rsidRPr="00AD3152">
        <w:rPr>
          <w:rFonts w:ascii="Arial" w:hAnsi="Arial" w:cs="Arial"/>
          <w:b/>
          <w:sz w:val="21"/>
          <w:szCs w:val="21"/>
        </w:rPr>
        <w:t xml:space="preserve"> between </w:t>
      </w:r>
      <w:r w:rsidRPr="00AD3152">
        <w:rPr>
          <w:rFonts w:ascii="Arial" w:hAnsi="Arial" w:cs="Arial"/>
          <w:b/>
          <w:color w:val="000000"/>
          <w:sz w:val="21"/>
          <w:szCs w:val="21"/>
        </w:rPr>
        <w:t>fibrinolytic therapy</w:t>
      </w:r>
      <w:r w:rsidRPr="00AD3152">
        <w:rPr>
          <w:rFonts w:ascii="Arial" w:hAnsi="Arial" w:cs="Arial"/>
          <w:b/>
          <w:sz w:val="21"/>
          <w:szCs w:val="21"/>
        </w:rPr>
        <w:t xml:space="preserve"> and the risk of </w:t>
      </w:r>
      <w:r>
        <w:rPr>
          <w:rFonts w:ascii="Arial" w:hAnsi="Arial" w:cs="Arial"/>
          <w:b/>
          <w:sz w:val="21"/>
          <w:szCs w:val="21"/>
        </w:rPr>
        <w:t>short-term</w:t>
      </w:r>
      <w:r w:rsidRPr="00AD3152">
        <w:rPr>
          <w:rFonts w:ascii="Arial" w:hAnsi="Arial" w:cs="Arial"/>
          <w:b/>
          <w:sz w:val="21"/>
          <w:szCs w:val="21"/>
        </w:rPr>
        <w:t xml:space="preserve"> major adverse cardiovascular events among patients with and without </w:t>
      </w:r>
      <w:r>
        <w:rPr>
          <w:rFonts w:ascii="Arial" w:hAnsi="Arial" w:cs="Arial"/>
          <w:b/>
          <w:sz w:val="21"/>
          <w:szCs w:val="21"/>
        </w:rPr>
        <w:t>chronic kidney disease</w:t>
      </w:r>
      <w:r w:rsidRPr="00AD3152">
        <w:rPr>
          <w:rFonts w:ascii="Arial" w:hAnsi="Arial" w:cs="Arial"/>
          <w:b/>
          <w:sz w:val="21"/>
          <w:szCs w:val="21"/>
        </w:rPr>
        <w:t xml:space="preserve"> (eGFR &lt;60 mL/min/1.73 m</w:t>
      </w:r>
      <w:r w:rsidRPr="00AD3152">
        <w:rPr>
          <w:rFonts w:ascii="Arial" w:hAnsi="Arial" w:cs="Arial"/>
          <w:b/>
          <w:sz w:val="21"/>
          <w:szCs w:val="21"/>
          <w:vertAlign w:val="superscript"/>
        </w:rPr>
        <w:t>2</w:t>
      </w:r>
      <w:r w:rsidRPr="00AD3152">
        <w:rPr>
          <w:rFonts w:ascii="Arial" w:hAnsi="Arial" w:cs="Arial"/>
          <w:b/>
          <w:sz w:val="21"/>
          <w:szCs w:val="21"/>
        </w:rPr>
        <w:t>), results of propensity score-matched subgroup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1"/>
        <w:gridCol w:w="2014"/>
        <w:gridCol w:w="956"/>
        <w:gridCol w:w="2018"/>
        <w:gridCol w:w="957"/>
        <w:gridCol w:w="1384"/>
      </w:tblGrid>
      <w:tr w:rsidR="00E95BA0" w:rsidRPr="00694156" w14:paraId="3DB23FC4" w14:textId="77777777" w:rsidTr="00A8394A">
        <w:tc>
          <w:tcPr>
            <w:tcW w:w="1081" w:type="pct"/>
          </w:tcPr>
          <w:p w14:paraId="010C9005" w14:textId="77777777" w:rsidR="00E95BA0" w:rsidRPr="00E52D32" w:rsidRDefault="00E95BA0" w:rsidP="00A8394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588" w:type="pct"/>
            <w:gridSpan w:val="2"/>
          </w:tcPr>
          <w:p w14:paraId="59FDB14F" w14:textId="77777777" w:rsidR="00E95BA0" w:rsidRPr="00BE5FEC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A77AE0">
              <w:rPr>
                <w:rFonts w:ascii="Arial" w:hAnsi="Arial" w:cs="Arial"/>
                <w:szCs w:val="21"/>
              </w:rPr>
              <w:t>eGFR ≥60 mL/min/1.73 m</w:t>
            </w:r>
            <w:r w:rsidRPr="00A77AE0">
              <w:rPr>
                <w:rFonts w:ascii="Arial" w:hAnsi="Arial" w:cs="Arial"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szCs w:val="21"/>
              </w:rPr>
              <w:t xml:space="preserve"> (n=5502)</w:t>
            </w:r>
          </w:p>
        </w:tc>
        <w:tc>
          <w:tcPr>
            <w:tcW w:w="1591" w:type="pct"/>
            <w:gridSpan w:val="2"/>
            <w:vAlign w:val="center"/>
          </w:tcPr>
          <w:p w14:paraId="748804F4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A77AE0">
              <w:rPr>
                <w:rFonts w:ascii="Arial" w:hAnsi="Arial" w:cs="Arial"/>
                <w:szCs w:val="21"/>
              </w:rPr>
              <w:t>eGFR &lt;60 mL/min/1.73 m</w:t>
            </w:r>
            <w:r w:rsidRPr="00A77AE0">
              <w:rPr>
                <w:rFonts w:ascii="Arial" w:hAnsi="Arial" w:cs="Arial"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szCs w:val="21"/>
              </w:rPr>
              <w:t xml:space="preserve"> (n=588)</w:t>
            </w:r>
          </w:p>
        </w:tc>
        <w:tc>
          <w:tcPr>
            <w:tcW w:w="740" w:type="pct"/>
            <w:vMerge w:val="restart"/>
            <w:vAlign w:val="bottom"/>
          </w:tcPr>
          <w:p w14:paraId="21330778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 w:hint="eastAsia"/>
                <w:i/>
                <w:szCs w:val="21"/>
              </w:rPr>
              <w:t>P</w:t>
            </w:r>
            <w:r w:rsidRPr="00694156">
              <w:rPr>
                <w:rFonts w:ascii="Arial" w:hAnsi="Arial" w:cs="Arial" w:hint="eastAsia"/>
                <w:szCs w:val="21"/>
              </w:rPr>
              <w:t xml:space="preserve"> for interaction</w:t>
            </w:r>
          </w:p>
        </w:tc>
      </w:tr>
      <w:tr w:rsidR="00E95BA0" w:rsidRPr="00694156" w14:paraId="23C2AC69" w14:textId="77777777" w:rsidTr="00A8394A">
        <w:tc>
          <w:tcPr>
            <w:tcW w:w="1081" w:type="pct"/>
          </w:tcPr>
          <w:p w14:paraId="7A450C61" w14:textId="77777777" w:rsidR="00E95BA0" w:rsidRPr="00694156" w:rsidRDefault="00E95BA0" w:rsidP="00A8394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077" w:type="pct"/>
          </w:tcPr>
          <w:p w14:paraId="45F8DEB2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RR (95% CI)</w:t>
            </w:r>
          </w:p>
        </w:tc>
        <w:tc>
          <w:tcPr>
            <w:tcW w:w="511" w:type="pct"/>
          </w:tcPr>
          <w:p w14:paraId="77843D6F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i/>
                <w:szCs w:val="21"/>
              </w:rPr>
            </w:pPr>
            <w:r w:rsidRPr="00694156">
              <w:rPr>
                <w:rFonts w:ascii="Arial" w:hAnsi="Arial" w:cs="Arial"/>
                <w:i/>
                <w:szCs w:val="21"/>
              </w:rPr>
              <w:t>P</w:t>
            </w:r>
            <w:r w:rsidRPr="00694156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1079" w:type="pct"/>
          </w:tcPr>
          <w:p w14:paraId="2735C54F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RR (95% CI)</w:t>
            </w:r>
          </w:p>
        </w:tc>
        <w:tc>
          <w:tcPr>
            <w:tcW w:w="512" w:type="pct"/>
          </w:tcPr>
          <w:p w14:paraId="54DF3673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i/>
                <w:szCs w:val="21"/>
              </w:rPr>
            </w:pPr>
            <w:r w:rsidRPr="00694156">
              <w:rPr>
                <w:rFonts w:ascii="Arial" w:hAnsi="Arial" w:cs="Arial"/>
                <w:i/>
                <w:szCs w:val="21"/>
              </w:rPr>
              <w:t>P</w:t>
            </w:r>
            <w:r w:rsidRPr="00694156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740" w:type="pct"/>
            <w:vMerge/>
          </w:tcPr>
          <w:p w14:paraId="1238AFF3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i/>
                <w:szCs w:val="21"/>
              </w:rPr>
            </w:pPr>
          </w:p>
        </w:tc>
      </w:tr>
      <w:tr w:rsidR="00E95BA0" w:rsidRPr="00694156" w14:paraId="2C07E612" w14:textId="77777777" w:rsidTr="00A8394A">
        <w:tc>
          <w:tcPr>
            <w:tcW w:w="1081" w:type="pct"/>
          </w:tcPr>
          <w:p w14:paraId="7E5CF548" w14:textId="77777777" w:rsidR="00E95BA0" w:rsidRPr="00694156" w:rsidRDefault="00E95BA0" w:rsidP="00A8394A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Model 1</w:t>
            </w:r>
            <w:r w:rsidRPr="00D66398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077" w:type="pct"/>
          </w:tcPr>
          <w:p w14:paraId="4F3AD3C0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11" w:type="pct"/>
          </w:tcPr>
          <w:p w14:paraId="1EDA4BB0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79" w:type="pct"/>
          </w:tcPr>
          <w:p w14:paraId="379657BC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12" w:type="pct"/>
          </w:tcPr>
          <w:p w14:paraId="1DB09500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0" w:type="pct"/>
          </w:tcPr>
          <w:p w14:paraId="1A50E257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95BA0" w:rsidRPr="00694156" w14:paraId="6DB365D2" w14:textId="77777777" w:rsidTr="00A8394A">
        <w:tc>
          <w:tcPr>
            <w:tcW w:w="1081" w:type="pct"/>
          </w:tcPr>
          <w:p w14:paraId="4611F86F" w14:textId="77777777" w:rsidR="00E95BA0" w:rsidRPr="00694156" w:rsidRDefault="00E95BA0" w:rsidP="00A8394A">
            <w:pPr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No fibrinolysis</w:t>
            </w:r>
          </w:p>
        </w:tc>
        <w:tc>
          <w:tcPr>
            <w:tcW w:w="1077" w:type="pct"/>
          </w:tcPr>
          <w:p w14:paraId="3A74A77F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Ref</w:t>
            </w:r>
          </w:p>
        </w:tc>
        <w:tc>
          <w:tcPr>
            <w:tcW w:w="511" w:type="pct"/>
          </w:tcPr>
          <w:p w14:paraId="284A7F91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szCs w:val="21"/>
              </w:rPr>
              <w:t>/</w:t>
            </w:r>
          </w:p>
        </w:tc>
        <w:tc>
          <w:tcPr>
            <w:tcW w:w="1079" w:type="pct"/>
          </w:tcPr>
          <w:p w14:paraId="4D0C9BA4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Ref</w:t>
            </w:r>
          </w:p>
        </w:tc>
        <w:tc>
          <w:tcPr>
            <w:tcW w:w="512" w:type="pct"/>
          </w:tcPr>
          <w:p w14:paraId="77BBC4BB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szCs w:val="21"/>
              </w:rPr>
              <w:t>/</w:t>
            </w:r>
          </w:p>
        </w:tc>
        <w:tc>
          <w:tcPr>
            <w:tcW w:w="740" w:type="pct"/>
          </w:tcPr>
          <w:p w14:paraId="7977382F" w14:textId="77777777" w:rsidR="00E95BA0" w:rsidRPr="00694156" w:rsidRDefault="00E95BA0" w:rsidP="00A8394A">
            <w:pPr>
              <w:spacing w:line="360" w:lineRule="auto"/>
              <w:jc w:val="center"/>
              <w:rPr>
                <w:szCs w:val="21"/>
              </w:rPr>
            </w:pPr>
            <w:r w:rsidRPr="00694156">
              <w:rPr>
                <w:szCs w:val="21"/>
              </w:rPr>
              <w:t>/</w:t>
            </w:r>
          </w:p>
        </w:tc>
      </w:tr>
      <w:tr w:rsidR="00E95BA0" w:rsidRPr="00694156" w14:paraId="31CB321C" w14:textId="77777777" w:rsidTr="00A8394A">
        <w:tc>
          <w:tcPr>
            <w:tcW w:w="1081" w:type="pct"/>
          </w:tcPr>
          <w:p w14:paraId="16562825" w14:textId="77777777" w:rsidR="00E95BA0" w:rsidRPr="00694156" w:rsidRDefault="00E95BA0" w:rsidP="00A8394A">
            <w:pPr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</w:t>
            </w:r>
            <w:r w:rsidRPr="00694156">
              <w:rPr>
                <w:rFonts w:ascii="Arial" w:hAnsi="Arial" w:cs="Arial"/>
                <w:szCs w:val="21"/>
              </w:rPr>
              <w:t>ibrinolysis</w:t>
            </w:r>
          </w:p>
        </w:tc>
        <w:tc>
          <w:tcPr>
            <w:tcW w:w="1077" w:type="pct"/>
          </w:tcPr>
          <w:p w14:paraId="024EDADA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3353F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80 (0.60 to 1.06</w:t>
            </w:r>
            <w:r w:rsidRPr="0003353F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511" w:type="pct"/>
          </w:tcPr>
          <w:p w14:paraId="262E94A5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0.126</w:t>
            </w:r>
          </w:p>
        </w:tc>
        <w:tc>
          <w:tcPr>
            <w:tcW w:w="1079" w:type="pct"/>
          </w:tcPr>
          <w:p w14:paraId="6409414D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1.02 (0.69 to 1.51</w:t>
            </w:r>
            <w:r w:rsidRPr="0003353F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512" w:type="pct"/>
          </w:tcPr>
          <w:p w14:paraId="521B2321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0.920</w:t>
            </w:r>
          </w:p>
        </w:tc>
        <w:tc>
          <w:tcPr>
            <w:tcW w:w="740" w:type="pct"/>
          </w:tcPr>
          <w:p w14:paraId="761F8200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158</w:t>
            </w:r>
          </w:p>
        </w:tc>
      </w:tr>
      <w:tr w:rsidR="00E95BA0" w:rsidRPr="00694156" w14:paraId="6509CC47" w14:textId="77777777" w:rsidTr="00A8394A">
        <w:tc>
          <w:tcPr>
            <w:tcW w:w="1081" w:type="pct"/>
          </w:tcPr>
          <w:p w14:paraId="5B4E3C9A" w14:textId="77777777" w:rsidR="00E95BA0" w:rsidRPr="00694156" w:rsidRDefault="00E95BA0" w:rsidP="00A8394A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Model 2</w:t>
            </w:r>
            <w:r w:rsidRPr="00D66398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077" w:type="pct"/>
          </w:tcPr>
          <w:p w14:paraId="6377D761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11" w:type="pct"/>
          </w:tcPr>
          <w:p w14:paraId="078E929D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79" w:type="pct"/>
          </w:tcPr>
          <w:p w14:paraId="039B3382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12" w:type="pct"/>
          </w:tcPr>
          <w:p w14:paraId="7413A49E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0" w:type="pct"/>
          </w:tcPr>
          <w:p w14:paraId="309F298D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95BA0" w:rsidRPr="00694156" w14:paraId="5FBA2B04" w14:textId="77777777" w:rsidTr="00A8394A">
        <w:tc>
          <w:tcPr>
            <w:tcW w:w="1081" w:type="pct"/>
          </w:tcPr>
          <w:p w14:paraId="43EEB9A0" w14:textId="77777777" w:rsidR="00E95BA0" w:rsidRPr="00694156" w:rsidRDefault="00E95BA0" w:rsidP="00A8394A">
            <w:pPr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No fibrinolysis</w:t>
            </w:r>
          </w:p>
        </w:tc>
        <w:tc>
          <w:tcPr>
            <w:tcW w:w="1077" w:type="pct"/>
          </w:tcPr>
          <w:p w14:paraId="3854164D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Ref</w:t>
            </w:r>
          </w:p>
        </w:tc>
        <w:tc>
          <w:tcPr>
            <w:tcW w:w="511" w:type="pct"/>
          </w:tcPr>
          <w:p w14:paraId="0CE86663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szCs w:val="21"/>
              </w:rPr>
              <w:t>/</w:t>
            </w:r>
          </w:p>
        </w:tc>
        <w:tc>
          <w:tcPr>
            <w:tcW w:w="1079" w:type="pct"/>
          </w:tcPr>
          <w:p w14:paraId="4AAC9258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rFonts w:ascii="Arial" w:hAnsi="Arial" w:cs="Arial"/>
                <w:szCs w:val="21"/>
              </w:rPr>
              <w:t>Ref</w:t>
            </w:r>
          </w:p>
        </w:tc>
        <w:tc>
          <w:tcPr>
            <w:tcW w:w="512" w:type="pct"/>
          </w:tcPr>
          <w:p w14:paraId="59772484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94156">
              <w:rPr>
                <w:szCs w:val="21"/>
              </w:rPr>
              <w:t>/</w:t>
            </w:r>
          </w:p>
        </w:tc>
        <w:tc>
          <w:tcPr>
            <w:tcW w:w="740" w:type="pct"/>
          </w:tcPr>
          <w:p w14:paraId="4AC0C108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95BA0" w:rsidRPr="00694156" w14:paraId="19A206C5" w14:textId="77777777" w:rsidTr="00A8394A">
        <w:tc>
          <w:tcPr>
            <w:tcW w:w="1081" w:type="pct"/>
          </w:tcPr>
          <w:p w14:paraId="041133DD" w14:textId="77777777" w:rsidR="00E95BA0" w:rsidRPr="00694156" w:rsidRDefault="00E95BA0" w:rsidP="00A8394A">
            <w:pPr>
              <w:spacing w:line="360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</w:t>
            </w:r>
            <w:r w:rsidRPr="00694156">
              <w:rPr>
                <w:rFonts w:ascii="Arial" w:hAnsi="Arial" w:cs="Arial"/>
                <w:szCs w:val="21"/>
              </w:rPr>
              <w:t>ibrinolysis</w:t>
            </w:r>
          </w:p>
        </w:tc>
        <w:tc>
          <w:tcPr>
            <w:tcW w:w="1077" w:type="pct"/>
          </w:tcPr>
          <w:p w14:paraId="22FF5EFB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0.78 (0.58 to 1.04</w:t>
            </w:r>
            <w:r w:rsidRPr="0003353F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511" w:type="pct"/>
          </w:tcPr>
          <w:p w14:paraId="39EB97C7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0.092</w:t>
            </w:r>
          </w:p>
        </w:tc>
        <w:tc>
          <w:tcPr>
            <w:tcW w:w="1079" w:type="pct"/>
          </w:tcPr>
          <w:p w14:paraId="1E2A89E8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0.99 (0.67 to 1.47</w:t>
            </w:r>
            <w:r w:rsidRPr="0003353F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512" w:type="pct"/>
          </w:tcPr>
          <w:p w14:paraId="60F9503D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0.978</w:t>
            </w:r>
          </w:p>
        </w:tc>
        <w:tc>
          <w:tcPr>
            <w:tcW w:w="740" w:type="pct"/>
          </w:tcPr>
          <w:p w14:paraId="57880E86" w14:textId="77777777" w:rsidR="00E95BA0" w:rsidRPr="00694156" w:rsidRDefault="00E95BA0" w:rsidP="00A8394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152</w:t>
            </w:r>
          </w:p>
        </w:tc>
      </w:tr>
    </w:tbl>
    <w:p w14:paraId="77EA701B" w14:textId="77777777" w:rsidR="00E95BA0" w:rsidRPr="00694156" w:rsidRDefault="00E95BA0" w:rsidP="00E95BA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66398">
        <w:rPr>
          <w:rFonts w:ascii="Arial" w:hAnsi="Arial" w:cs="Arial"/>
          <w:sz w:val="21"/>
          <w:vertAlign w:val="superscript"/>
        </w:rPr>
        <w:t>*</w:t>
      </w:r>
      <w:r w:rsidRPr="00694156">
        <w:rPr>
          <w:rFonts w:ascii="Arial" w:hAnsi="Arial" w:cs="Arial"/>
          <w:sz w:val="21"/>
          <w:szCs w:val="21"/>
        </w:rPr>
        <w:t>Adjusted for age, sex, intervention, cycle</w:t>
      </w:r>
      <w:r>
        <w:rPr>
          <w:rFonts w:ascii="Arial" w:hAnsi="Arial" w:cs="Arial"/>
          <w:sz w:val="21"/>
          <w:szCs w:val="21"/>
        </w:rPr>
        <w:t>, f</w:t>
      </w:r>
      <w:r w:rsidRPr="00A77AE0">
        <w:rPr>
          <w:rFonts w:ascii="Arial" w:hAnsi="Arial" w:cs="Arial"/>
          <w:sz w:val="21"/>
          <w:szCs w:val="21"/>
        </w:rPr>
        <w:t>ibrin-specific thrombolytic agent</w:t>
      </w:r>
      <w:r>
        <w:rPr>
          <w:rFonts w:ascii="Arial" w:hAnsi="Arial" w:cs="Arial"/>
          <w:sz w:val="21"/>
          <w:szCs w:val="21"/>
        </w:rPr>
        <w:t xml:space="preserve">, delay to admission, and </w:t>
      </w:r>
      <w:r w:rsidRPr="00694156">
        <w:rPr>
          <w:rFonts w:ascii="Arial" w:hAnsi="Arial" w:cs="Arial"/>
          <w:sz w:val="21"/>
          <w:szCs w:val="21"/>
        </w:rPr>
        <w:t>delay to fibrinolytic therapy.</w:t>
      </w:r>
    </w:p>
    <w:p w14:paraId="77DBB304" w14:textId="77777777" w:rsidR="00E95BA0" w:rsidRPr="00694156" w:rsidRDefault="00E95BA0" w:rsidP="00E95BA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66398">
        <w:rPr>
          <w:rFonts w:ascii="Arial" w:hAnsi="Arial" w:cs="Arial"/>
          <w:sz w:val="21"/>
          <w:vertAlign w:val="superscript"/>
        </w:rPr>
        <w:t>†</w:t>
      </w:r>
      <w:r w:rsidRPr="00694156">
        <w:rPr>
          <w:rFonts w:ascii="Arial" w:hAnsi="Arial" w:cs="Arial"/>
          <w:sz w:val="21"/>
          <w:szCs w:val="21"/>
        </w:rPr>
        <w:t>Further adjusted for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>pro</w:t>
      </w:r>
      <w:r>
        <w:rPr>
          <w:rFonts w:ascii="Arial" w:hAnsi="Arial" w:cs="Arial"/>
          <w:sz w:val="21"/>
          <w:szCs w:val="21"/>
        </w:rPr>
        <w:t>pensity scores</w:t>
      </w:r>
      <w:r w:rsidRPr="00694156">
        <w:rPr>
          <w:rFonts w:ascii="Arial" w:hAnsi="Arial" w:cs="Arial"/>
          <w:sz w:val="21"/>
          <w:szCs w:val="21"/>
        </w:rPr>
        <w:t>.</w:t>
      </w:r>
    </w:p>
    <w:p w14:paraId="573E1803" w14:textId="426FA05B" w:rsidR="006E13EA" w:rsidRDefault="00E95BA0" w:rsidP="00E95BA0">
      <w:r w:rsidRPr="006338B7">
        <w:rPr>
          <w:rFonts w:ascii="Arial" w:hAnsi="Arial" w:cs="Arial" w:hint="eastAsia"/>
          <w:sz w:val="21"/>
          <w:szCs w:val="21"/>
        </w:rPr>
        <w:t>e</w:t>
      </w:r>
      <w:r w:rsidRPr="006338B7">
        <w:rPr>
          <w:rFonts w:ascii="Arial" w:hAnsi="Arial" w:cs="Arial"/>
          <w:sz w:val="21"/>
          <w:szCs w:val="21"/>
        </w:rPr>
        <w:t>GFR, estimated</w:t>
      </w:r>
      <w:r w:rsidRPr="006338B7">
        <w:rPr>
          <w:rFonts w:ascii="Arial" w:hAnsi="Arial" w:cs="Arial" w:hint="eastAsia"/>
          <w:sz w:val="21"/>
          <w:szCs w:val="21"/>
        </w:rPr>
        <w:t xml:space="preserve"> </w:t>
      </w:r>
      <w:r w:rsidRPr="006338B7">
        <w:rPr>
          <w:rFonts w:ascii="Arial" w:hAnsi="Arial" w:cs="Arial"/>
          <w:sz w:val="21"/>
          <w:szCs w:val="21"/>
        </w:rPr>
        <w:t xml:space="preserve">glomerular filtration rate; RR, </w:t>
      </w:r>
      <w:r>
        <w:rPr>
          <w:rFonts w:ascii="Arial" w:hAnsi="Arial" w:cs="Arial"/>
          <w:sz w:val="21"/>
          <w:szCs w:val="21"/>
        </w:rPr>
        <w:t>r</w:t>
      </w:r>
      <w:r w:rsidRPr="006338B7">
        <w:rPr>
          <w:rFonts w:ascii="Arial" w:hAnsi="Arial" w:cs="Arial" w:hint="eastAsia"/>
          <w:sz w:val="21"/>
          <w:szCs w:val="21"/>
        </w:rPr>
        <w:t>elative risk</w:t>
      </w:r>
      <w:r w:rsidRPr="006338B7">
        <w:rPr>
          <w:rFonts w:ascii="Arial" w:hAnsi="Arial" w:cs="Arial"/>
          <w:sz w:val="21"/>
          <w:szCs w:val="21"/>
        </w:rPr>
        <w:t>; CI, confidence interval.</w:t>
      </w:r>
    </w:p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A0"/>
    <w:rsid w:val="003862E5"/>
    <w:rsid w:val="003C4646"/>
    <w:rsid w:val="006E13EA"/>
    <w:rsid w:val="009C5222"/>
    <w:rsid w:val="00A3436C"/>
    <w:rsid w:val="00E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C4A0"/>
  <w15:chartTrackingRefBased/>
  <w15:docId w15:val="{6F6FF3F3-56C2-4477-B7A1-67491DA8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A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BA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2021-01-09T10:45:00Z</dcterms:created>
  <dcterms:modified xsi:type="dcterms:W3CDTF">2021-01-09T10:45:00Z</dcterms:modified>
</cp:coreProperties>
</file>