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96E35" w14:textId="6D21B3E8" w:rsidR="008652ED" w:rsidRPr="00CE2357" w:rsidRDefault="008652ED" w:rsidP="00CE2357">
      <w:pPr>
        <w:pStyle w:val="MDPI21heading1"/>
        <w:spacing w:line="480" w:lineRule="auto"/>
        <w:jc w:val="center"/>
      </w:pPr>
      <w:r>
        <w:t>S1 Table</w:t>
      </w:r>
      <w:r w:rsidRPr="007D2788">
        <w:t>. Sodium available in Costa Rican households and caloric intake of the population from 2012 to 2013, using the Household Budget Survey analysis methodology (Grouped and ungrouped data by sodium (mg/day) and salt (g/day))</w:t>
      </w:r>
      <w:r w:rsidRPr="007D2788">
        <w:rPr>
          <w:vertAlign w:val="superscript"/>
        </w:rPr>
        <w:t>1</w:t>
      </w:r>
      <w:r w:rsidRPr="007D2788">
        <w:t>.</w:t>
      </w:r>
    </w:p>
    <w:tbl>
      <w:tblPr>
        <w:tblStyle w:val="MDPI41threelinetable"/>
        <w:tblW w:w="8180" w:type="dxa"/>
        <w:tblLook w:val="0600" w:firstRow="0" w:lastRow="0" w:firstColumn="0" w:lastColumn="0" w:noHBand="1" w:noVBand="1"/>
      </w:tblPr>
      <w:tblGrid>
        <w:gridCol w:w="1640"/>
        <w:gridCol w:w="1840"/>
        <w:gridCol w:w="1400"/>
        <w:gridCol w:w="1740"/>
        <w:gridCol w:w="1560"/>
      </w:tblGrid>
      <w:tr w:rsidR="008652ED" w:rsidRPr="007D2788" w14:paraId="43059962" w14:textId="77777777" w:rsidTr="008269B3">
        <w:trPr>
          <w:trHeight w:val="310"/>
        </w:trPr>
        <w:tc>
          <w:tcPr>
            <w:tcW w:w="0" w:type="auto"/>
            <w:vMerge w:val="restart"/>
            <w:tcBorders>
              <w:top w:val="single" w:sz="8" w:space="0" w:color="auto"/>
            </w:tcBorders>
          </w:tcPr>
          <w:p w14:paraId="0665C42B" w14:textId="77777777" w:rsidR="008652ED" w:rsidRPr="007D2788" w:rsidRDefault="008652ED" w:rsidP="008269B3">
            <w:pPr>
              <w:pStyle w:val="MDPI42tablebody"/>
              <w:spacing w:line="480" w:lineRule="auto"/>
              <w:rPr>
                <w:b/>
              </w:rPr>
            </w:pPr>
            <w:r w:rsidRPr="007D2788">
              <w:rPr>
                <w:b/>
              </w:rPr>
              <w:t>Intake</w:t>
            </w:r>
          </w:p>
        </w:tc>
        <w:tc>
          <w:tcPr>
            <w:tcW w:w="3240" w:type="dxa"/>
            <w:gridSpan w:val="2"/>
            <w:tcBorders>
              <w:top w:val="single" w:sz="8" w:space="0" w:color="auto"/>
              <w:bottom w:val="single" w:sz="4" w:space="0" w:color="auto"/>
            </w:tcBorders>
          </w:tcPr>
          <w:p w14:paraId="09236218" w14:textId="77777777" w:rsidR="008652ED" w:rsidRPr="007D2788" w:rsidRDefault="008652ED" w:rsidP="008269B3">
            <w:pPr>
              <w:pStyle w:val="MDPI42tablebody"/>
              <w:spacing w:line="480" w:lineRule="auto"/>
              <w:rPr>
                <w:b/>
              </w:rPr>
            </w:pPr>
            <w:r w:rsidRPr="007D2788">
              <w:rPr>
                <w:b/>
              </w:rPr>
              <w:t>Ungrouped Data</w:t>
            </w:r>
          </w:p>
        </w:tc>
        <w:tc>
          <w:tcPr>
            <w:tcW w:w="3300" w:type="dxa"/>
            <w:gridSpan w:val="2"/>
            <w:tcBorders>
              <w:top w:val="single" w:sz="8" w:space="0" w:color="auto"/>
              <w:bottom w:val="single" w:sz="4" w:space="0" w:color="auto"/>
            </w:tcBorders>
          </w:tcPr>
          <w:p w14:paraId="2D76D63C" w14:textId="77777777" w:rsidR="008652ED" w:rsidRPr="007D2788" w:rsidRDefault="008652ED" w:rsidP="008269B3">
            <w:pPr>
              <w:pStyle w:val="MDPI42tablebody"/>
              <w:spacing w:line="480" w:lineRule="auto"/>
              <w:rPr>
                <w:b/>
              </w:rPr>
            </w:pPr>
            <w:r w:rsidRPr="007D2788">
              <w:rPr>
                <w:b/>
              </w:rPr>
              <w:t>Grouped Data</w:t>
            </w:r>
          </w:p>
        </w:tc>
      </w:tr>
      <w:tr w:rsidR="008652ED" w:rsidRPr="007D2788" w14:paraId="493C70AB" w14:textId="77777777" w:rsidTr="008269B3">
        <w:trPr>
          <w:trHeight w:val="270"/>
        </w:trPr>
        <w:tc>
          <w:tcPr>
            <w:tcW w:w="0" w:type="auto"/>
            <w:vMerge/>
            <w:tcBorders>
              <w:bottom w:val="single" w:sz="4" w:space="0" w:color="auto"/>
            </w:tcBorders>
            <w:hideMark/>
          </w:tcPr>
          <w:p w14:paraId="48DA196C" w14:textId="77777777" w:rsidR="008652ED" w:rsidRPr="007D2788" w:rsidRDefault="008652ED" w:rsidP="008269B3">
            <w:pPr>
              <w:pStyle w:val="MDPI42tablebody"/>
              <w:spacing w:line="480" w:lineRule="auto"/>
              <w:rPr>
                <w:b/>
              </w:rPr>
            </w:pPr>
          </w:p>
        </w:tc>
        <w:tc>
          <w:tcPr>
            <w:tcW w:w="1840" w:type="dxa"/>
            <w:tcBorders>
              <w:top w:val="single" w:sz="4" w:space="0" w:color="auto"/>
              <w:bottom w:val="single" w:sz="4" w:space="0" w:color="auto"/>
            </w:tcBorders>
            <w:hideMark/>
          </w:tcPr>
          <w:p w14:paraId="720E0F62" w14:textId="77777777" w:rsidR="008652ED" w:rsidRPr="007D2788" w:rsidRDefault="008652ED" w:rsidP="008269B3">
            <w:pPr>
              <w:pStyle w:val="MDPI42tablebody"/>
              <w:spacing w:line="480" w:lineRule="auto"/>
              <w:rPr>
                <w:b/>
              </w:rPr>
            </w:pPr>
            <w:r w:rsidRPr="007D2788">
              <w:rPr>
                <w:b/>
              </w:rPr>
              <w:t>sodium (mg)</w:t>
            </w:r>
          </w:p>
        </w:tc>
        <w:tc>
          <w:tcPr>
            <w:tcW w:w="1400" w:type="dxa"/>
            <w:tcBorders>
              <w:top w:val="single" w:sz="4" w:space="0" w:color="auto"/>
              <w:bottom w:val="single" w:sz="4" w:space="0" w:color="auto"/>
            </w:tcBorders>
            <w:hideMark/>
          </w:tcPr>
          <w:p w14:paraId="207129ED" w14:textId="77777777" w:rsidR="008652ED" w:rsidRPr="007D2788" w:rsidRDefault="008652ED" w:rsidP="008269B3">
            <w:pPr>
              <w:pStyle w:val="MDPI42tablebody"/>
              <w:spacing w:line="480" w:lineRule="auto"/>
              <w:rPr>
                <w:b/>
              </w:rPr>
            </w:pPr>
            <w:r w:rsidRPr="007D2788">
              <w:rPr>
                <w:b/>
              </w:rPr>
              <w:t>salt (g)</w:t>
            </w:r>
          </w:p>
        </w:tc>
        <w:tc>
          <w:tcPr>
            <w:tcW w:w="1740" w:type="dxa"/>
            <w:tcBorders>
              <w:top w:val="single" w:sz="4" w:space="0" w:color="auto"/>
              <w:bottom w:val="single" w:sz="4" w:space="0" w:color="auto"/>
            </w:tcBorders>
            <w:hideMark/>
          </w:tcPr>
          <w:p w14:paraId="30621E5F" w14:textId="77777777" w:rsidR="008652ED" w:rsidRPr="007D2788" w:rsidRDefault="008652ED" w:rsidP="008269B3">
            <w:pPr>
              <w:pStyle w:val="MDPI42tablebody"/>
              <w:spacing w:line="480" w:lineRule="auto"/>
              <w:rPr>
                <w:b/>
              </w:rPr>
            </w:pPr>
            <w:r w:rsidRPr="007D2788">
              <w:rPr>
                <w:b/>
              </w:rPr>
              <w:t>sodium (mg)</w:t>
            </w:r>
          </w:p>
        </w:tc>
        <w:tc>
          <w:tcPr>
            <w:tcW w:w="1560" w:type="dxa"/>
            <w:tcBorders>
              <w:top w:val="single" w:sz="4" w:space="0" w:color="auto"/>
              <w:bottom w:val="single" w:sz="4" w:space="0" w:color="auto"/>
            </w:tcBorders>
            <w:hideMark/>
          </w:tcPr>
          <w:p w14:paraId="3F3401F9" w14:textId="77777777" w:rsidR="008652ED" w:rsidRPr="007D2788" w:rsidRDefault="008652ED" w:rsidP="008269B3">
            <w:pPr>
              <w:pStyle w:val="MDPI42tablebody"/>
              <w:spacing w:line="480" w:lineRule="auto"/>
              <w:rPr>
                <w:b/>
              </w:rPr>
            </w:pPr>
            <w:r w:rsidRPr="007D2788">
              <w:rPr>
                <w:b/>
              </w:rPr>
              <w:t>salt (g)</w:t>
            </w:r>
          </w:p>
        </w:tc>
      </w:tr>
      <w:tr w:rsidR="008652ED" w:rsidRPr="007D2788" w14:paraId="28AB5006" w14:textId="77777777" w:rsidTr="008269B3">
        <w:trPr>
          <w:trHeight w:val="414"/>
        </w:trPr>
        <w:tc>
          <w:tcPr>
            <w:tcW w:w="1640" w:type="dxa"/>
            <w:tcBorders>
              <w:top w:val="single" w:sz="4" w:space="0" w:color="auto"/>
            </w:tcBorders>
            <w:hideMark/>
          </w:tcPr>
          <w:p w14:paraId="2EBB2757" w14:textId="77777777" w:rsidR="008652ED" w:rsidRPr="007D2788" w:rsidRDefault="008652ED" w:rsidP="008269B3">
            <w:pPr>
              <w:pStyle w:val="MDPI42tablebody"/>
              <w:spacing w:line="480" w:lineRule="auto"/>
            </w:pPr>
            <w:r w:rsidRPr="007D2788">
              <w:t>Average</w:t>
            </w:r>
          </w:p>
        </w:tc>
        <w:tc>
          <w:tcPr>
            <w:tcW w:w="1840" w:type="dxa"/>
            <w:tcBorders>
              <w:top w:val="single" w:sz="4" w:space="0" w:color="auto"/>
            </w:tcBorders>
            <w:hideMark/>
          </w:tcPr>
          <w:p w14:paraId="5CE0F890" w14:textId="77777777" w:rsidR="008652ED" w:rsidRPr="007D2788" w:rsidRDefault="008652ED" w:rsidP="008269B3">
            <w:pPr>
              <w:pStyle w:val="MDPI42tablebody"/>
              <w:spacing w:line="480" w:lineRule="auto"/>
            </w:pPr>
            <w:r w:rsidRPr="007D2788">
              <w:t>4537.87</w:t>
            </w:r>
          </w:p>
        </w:tc>
        <w:tc>
          <w:tcPr>
            <w:tcW w:w="1400" w:type="dxa"/>
            <w:tcBorders>
              <w:top w:val="single" w:sz="4" w:space="0" w:color="auto"/>
            </w:tcBorders>
            <w:hideMark/>
          </w:tcPr>
          <w:p w14:paraId="3DACA2D9" w14:textId="77777777" w:rsidR="008652ED" w:rsidRPr="007D2788" w:rsidRDefault="008652ED" w:rsidP="008269B3">
            <w:pPr>
              <w:pStyle w:val="MDPI42tablebody"/>
              <w:spacing w:line="480" w:lineRule="auto"/>
            </w:pPr>
            <w:r w:rsidRPr="007D2788">
              <w:t>11.34</w:t>
            </w:r>
          </w:p>
        </w:tc>
        <w:tc>
          <w:tcPr>
            <w:tcW w:w="1740" w:type="dxa"/>
            <w:tcBorders>
              <w:top w:val="single" w:sz="4" w:space="0" w:color="auto"/>
            </w:tcBorders>
            <w:hideMark/>
          </w:tcPr>
          <w:p w14:paraId="22F0464F" w14:textId="77777777" w:rsidR="008652ED" w:rsidRPr="007D2788" w:rsidRDefault="008652ED" w:rsidP="008269B3">
            <w:pPr>
              <w:pStyle w:val="MDPI42tablebody"/>
              <w:spacing w:line="480" w:lineRule="auto"/>
            </w:pPr>
            <w:r w:rsidRPr="007D2788">
              <w:t>4020.47</w:t>
            </w:r>
          </w:p>
        </w:tc>
        <w:tc>
          <w:tcPr>
            <w:tcW w:w="1560" w:type="dxa"/>
            <w:tcBorders>
              <w:top w:val="single" w:sz="4" w:space="0" w:color="auto"/>
            </w:tcBorders>
            <w:hideMark/>
          </w:tcPr>
          <w:p w14:paraId="76C6189E" w14:textId="77777777" w:rsidR="008652ED" w:rsidRPr="007D2788" w:rsidRDefault="008652ED" w:rsidP="008269B3">
            <w:pPr>
              <w:pStyle w:val="MDPI42tablebody"/>
              <w:spacing w:line="480" w:lineRule="auto"/>
            </w:pPr>
            <w:r w:rsidRPr="007D2788">
              <w:t>10.05</w:t>
            </w:r>
          </w:p>
        </w:tc>
      </w:tr>
      <w:tr w:rsidR="008652ED" w:rsidRPr="007D2788" w14:paraId="392D2AB5" w14:textId="77777777" w:rsidTr="008269B3">
        <w:trPr>
          <w:trHeight w:val="405"/>
        </w:trPr>
        <w:tc>
          <w:tcPr>
            <w:tcW w:w="1640" w:type="dxa"/>
            <w:hideMark/>
          </w:tcPr>
          <w:p w14:paraId="4F29BBF0" w14:textId="77777777" w:rsidR="008652ED" w:rsidRPr="007D2788" w:rsidRDefault="008652ED" w:rsidP="008269B3">
            <w:pPr>
              <w:pStyle w:val="MDPI42tablebody"/>
              <w:spacing w:line="480" w:lineRule="auto"/>
            </w:pPr>
            <w:r w:rsidRPr="007D2788">
              <w:t>SD</w:t>
            </w:r>
          </w:p>
        </w:tc>
        <w:tc>
          <w:tcPr>
            <w:tcW w:w="1840" w:type="dxa"/>
            <w:hideMark/>
          </w:tcPr>
          <w:p w14:paraId="0F1BC427" w14:textId="77777777" w:rsidR="008652ED" w:rsidRPr="007D2788" w:rsidRDefault="008652ED" w:rsidP="008269B3">
            <w:pPr>
              <w:pStyle w:val="MDPI42tablebody"/>
              <w:spacing w:line="480" w:lineRule="auto"/>
            </w:pPr>
            <w:r w:rsidRPr="007D2788">
              <w:t>±8772.13</w:t>
            </w:r>
          </w:p>
        </w:tc>
        <w:tc>
          <w:tcPr>
            <w:tcW w:w="1400" w:type="dxa"/>
            <w:hideMark/>
          </w:tcPr>
          <w:p w14:paraId="3740B71A" w14:textId="77777777" w:rsidR="008652ED" w:rsidRPr="007D2788" w:rsidRDefault="008652ED" w:rsidP="008269B3">
            <w:pPr>
              <w:pStyle w:val="MDPI42tablebody"/>
              <w:spacing w:line="480" w:lineRule="auto"/>
            </w:pPr>
            <w:r w:rsidRPr="007D2788">
              <w:t>±21.93</w:t>
            </w:r>
          </w:p>
        </w:tc>
        <w:tc>
          <w:tcPr>
            <w:tcW w:w="1740" w:type="dxa"/>
            <w:hideMark/>
          </w:tcPr>
          <w:p w14:paraId="48BD3D5B" w14:textId="77777777" w:rsidR="008652ED" w:rsidRPr="007D2788" w:rsidRDefault="008652ED" w:rsidP="008269B3">
            <w:pPr>
              <w:pStyle w:val="MDPI42tablebody"/>
              <w:spacing w:line="480" w:lineRule="auto"/>
            </w:pPr>
            <w:r w:rsidRPr="007D2788">
              <w:t>±2161.59</w:t>
            </w:r>
          </w:p>
        </w:tc>
        <w:tc>
          <w:tcPr>
            <w:tcW w:w="1560" w:type="dxa"/>
            <w:hideMark/>
          </w:tcPr>
          <w:p w14:paraId="1EE7AEE4" w14:textId="77777777" w:rsidR="008652ED" w:rsidRPr="007D2788" w:rsidRDefault="008652ED" w:rsidP="008269B3">
            <w:pPr>
              <w:pStyle w:val="MDPI42tablebody"/>
              <w:spacing w:line="480" w:lineRule="auto"/>
            </w:pPr>
            <w:r w:rsidRPr="007D2788">
              <w:t>±5.40</w:t>
            </w:r>
          </w:p>
        </w:tc>
      </w:tr>
      <w:tr w:rsidR="008652ED" w:rsidRPr="007D2788" w14:paraId="45C23BF0" w14:textId="77777777" w:rsidTr="008269B3">
        <w:trPr>
          <w:trHeight w:val="411"/>
        </w:trPr>
        <w:tc>
          <w:tcPr>
            <w:tcW w:w="1640" w:type="dxa"/>
            <w:hideMark/>
          </w:tcPr>
          <w:p w14:paraId="14CC3F58" w14:textId="77777777" w:rsidR="008652ED" w:rsidRPr="007D2788" w:rsidRDefault="008652ED" w:rsidP="008269B3">
            <w:pPr>
              <w:pStyle w:val="MDPI42tablebody"/>
              <w:spacing w:line="480" w:lineRule="auto"/>
            </w:pPr>
            <w:r w:rsidRPr="007D2788">
              <w:t>Kcal</w:t>
            </w:r>
          </w:p>
        </w:tc>
        <w:tc>
          <w:tcPr>
            <w:tcW w:w="1840" w:type="dxa"/>
            <w:hideMark/>
          </w:tcPr>
          <w:p w14:paraId="7AA6C16C" w14:textId="77777777" w:rsidR="008652ED" w:rsidRPr="007D2788" w:rsidRDefault="008652ED" w:rsidP="008269B3">
            <w:pPr>
              <w:pStyle w:val="MDPI42tablebody"/>
              <w:spacing w:line="480" w:lineRule="auto"/>
            </w:pPr>
            <w:r w:rsidRPr="007D2788">
              <w:t>2352.02</w:t>
            </w:r>
          </w:p>
        </w:tc>
        <w:tc>
          <w:tcPr>
            <w:tcW w:w="1400" w:type="dxa"/>
            <w:hideMark/>
          </w:tcPr>
          <w:p w14:paraId="6A573DC0" w14:textId="77777777" w:rsidR="008652ED" w:rsidRPr="007D2788" w:rsidRDefault="008652ED" w:rsidP="008269B3">
            <w:pPr>
              <w:pStyle w:val="MDPI42tablebody"/>
              <w:spacing w:line="480" w:lineRule="auto"/>
            </w:pPr>
            <w:r w:rsidRPr="007D2788">
              <w:t>2352.02</w:t>
            </w:r>
          </w:p>
        </w:tc>
        <w:tc>
          <w:tcPr>
            <w:tcW w:w="1740" w:type="dxa"/>
            <w:hideMark/>
          </w:tcPr>
          <w:p w14:paraId="2FE8CFC9" w14:textId="77777777" w:rsidR="008652ED" w:rsidRPr="007D2788" w:rsidRDefault="008652ED" w:rsidP="008269B3">
            <w:pPr>
              <w:pStyle w:val="MDPI42tablebody"/>
              <w:spacing w:line="480" w:lineRule="auto"/>
            </w:pPr>
            <w:r w:rsidRPr="007D2788">
              <w:t>2170.67</w:t>
            </w:r>
          </w:p>
        </w:tc>
        <w:tc>
          <w:tcPr>
            <w:tcW w:w="1560" w:type="dxa"/>
            <w:hideMark/>
          </w:tcPr>
          <w:p w14:paraId="11780E1D" w14:textId="77777777" w:rsidR="008652ED" w:rsidRPr="007D2788" w:rsidRDefault="008652ED" w:rsidP="008269B3">
            <w:pPr>
              <w:pStyle w:val="MDPI42tablebody"/>
              <w:spacing w:line="480" w:lineRule="auto"/>
            </w:pPr>
            <w:r w:rsidRPr="007D2788">
              <w:t>2170.67</w:t>
            </w:r>
          </w:p>
        </w:tc>
      </w:tr>
    </w:tbl>
    <w:p w14:paraId="47823204" w14:textId="77777777" w:rsidR="008652ED" w:rsidRDefault="008652ED" w:rsidP="008652ED">
      <w:pPr>
        <w:pStyle w:val="CommentText"/>
        <w:spacing w:before="120" w:after="0" w:line="480" w:lineRule="auto"/>
        <w:jc w:val="both"/>
        <w:rPr>
          <w:rFonts w:ascii="Palatino Linotype" w:hAnsi="Palatino Linotype" w:cs="Times New Roman"/>
          <w:snapToGrid w:val="0"/>
          <w:sz w:val="18"/>
          <w:szCs w:val="22"/>
          <w:lang w:val="en-US"/>
        </w:rPr>
      </w:pPr>
      <w:r w:rsidRPr="007D2788">
        <w:rPr>
          <w:rFonts w:ascii="Palatino Linotype" w:eastAsia="Times New Roman" w:hAnsi="Palatino Linotype" w:cs="Times New Roman"/>
          <w:color w:val="000000"/>
          <w:sz w:val="18"/>
          <w:szCs w:val="22"/>
          <w:vertAlign w:val="superscript"/>
          <w:lang w:val="en-US" w:eastAsia="de-DE" w:bidi="en-US"/>
        </w:rPr>
        <w:t>1</w:t>
      </w:r>
      <w:r w:rsidRPr="007D2788">
        <w:rPr>
          <w:rFonts w:ascii="Palatino Linotype" w:eastAsia="Times New Roman" w:hAnsi="Palatino Linotype" w:cs="Times New Roman"/>
          <w:color w:val="000000"/>
          <w:sz w:val="18"/>
          <w:szCs w:val="22"/>
          <w:lang w:val="en-US" w:eastAsia="de-DE" w:bidi="en-US"/>
        </w:rPr>
        <w:t xml:space="preserve">In the HBS methodology, the grouping is used since it is considered that the reference period for the collection of information is not sufficient to characterize the pattern of food acquisition in each household and, therefore, the groups of households are adopted as the study unit corresponding to the strata of the sample instead of the individual households studied. </w:t>
      </w:r>
      <w:r w:rsidRPr="007D2788">
        <w:rPr>
          <w:rFonts w:ascii="Palatino Linotype" w:hAnsi="Palatino Linotype" w:cs="Times New Roman"/>
          <w:snapToGrid w:val="0"/>
          <w:sz w:val="18"/>
          <w:szCs w:val="22"/>
          <w:lang w:val="en-US"/>
        </w:rPr>
        <w:t>These strata are made up of homogeneous household units from the point of view of territorial dominance and the socioeconomic condition of families, studied uniformly during the four quarters of the year. Therefore, the sample weight of each study unit (household stratum) corresponds to the sum of the sample weights of the households that make up the stratum. For more information, see the reference number 21.</w:t>
      </w:r>
    </w:p>
    <w:p w14:paraId="1B110A5E" w14:textId="77777777" w:rsidR="008652ED" w:rsidRDefault="008652ED" w:rsidP="008652ED">
      <w:pPr>
        <w:pStyle w:val="MDPI21heading1"/>
        <w:spacing w:before="0" w:line="480" w:lineRule="auto"/>
      </w:pPr>
    </w:p>
    <w:p w14:paraId="3A4D35B8" w14:textId="77777777" w:rsidR="008652ED" w:rsidRDefault="008652ED" w:rsidP="008652ED">
      <w:pPr>
        <w:pStyle w:val="MDPI21heading1"/>
        <w:spacing w:before="0" w:line="480" w:lineRule="auto"/>
      </w:pPr>
    </w:p>
    <w:sectPr w:rsidR="008652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2ED"/>
    <w:rsid w:val="001C4B6E"/>
    <w:rsid w:val="008652ED"/>
    <w:rsid w:val="00CE2357"/>
    <w:rsid w:val="00D76C1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2D52"/>
  <w15:chartTrackingRefBased/>
  <w15:docId w15:val="{AAD5BB9F-111B-4448-BD70-53ADB8CE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2ED"/>
    <w:pPr>
      <w:spacing w:after="0" w:line="340" w:lineRule="atLeast"/>
      <w:jc w:val="both"/>
    </w:pPr>
    <w:rPr>
      <w:rFonts w:ascii="Times New Roman" w:eastAsia="Times New Roman" w:hAnsi="Times New Roman" w:cs="Times New Roman"/>
      <w:color w:val="000000"/>
      <w:sz w:val="24"/>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52ED"/>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42tablebody">
    <w:name w:val="MDPI_4.2_table_body"/>
    <w:qFormat/>
    <w:rsid w:val="008652ED"/>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31text">
    <w:name w:val="MDPI_3.1_text"/>
    <w:qFormat/>
    <w:rsid w:val="008652ED"/>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1heading1">
    <w:name w:val="MDPI_2.1_heading1"/>
    <w:basedOn w:val="Normal"/>
    <w:qFormat/>
    <w:rsid w:val="008652ED"/>
    <w:pPr>
      <w:adjustRightInd w:val="0"/>
      <w:snapToGrid w:val="0"/>
      <w:spacing w:before="240" w:after="120" w:line="260" w:lineRule="atLeast"/>
      <w:jc w:val="left"/>
      <w:outlineLvl w:val="0"/>
    </w:pPr>
    <w:rPr>
      <w:rFonts w:ascii="Palatino Linotype" w:hAnsi="Palatino Linotype"/>
      <w:b/>
      <w:snapToGrid w:val="0"/>
      <w:sz w:val="20"/>
      <w:szCs w:val="22"/>
      <w:lang w:bidi="en-US"/>
    </w:rPr>
  </w:style>
  <w:style w:type="table" w:customStyle="1" w:styleId="MDPI41threelinetable">
    <w:name w:val="MDPI_4.1_three_line_table"/>
    <w:basedOn w:val="TableNormal"/>
    <w:uiPriority w:val="99"/>
    <w:rsid w:val="008652ED"/>
    <w:pPr>
      <w:adjustRightInd w:val="0"/>
      <w:snapToGrid w:val="0"/>
      <w:spacing w:after="0" w:line="240" w:lineRule="auto"/>
      <w:jc w:val="center"/>
    </w:pPr>
    <w:rPr>
      <w:rFonts w:ascii="Palatino Linotype" w:eastAsia="SimSun" w:hAnsi="Palatino Linotype" w:cs="Times New Roman"/>
      <w:color w:val="000000"/>
      <w:sz w:val="20"/>
      <w:szCs w:val="20"/>
      <w:lang w:val="en-US"/>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paragraph" w:styleId="CommentText">
    <w:name w:val="annotation text"/>
    <w:basedOn w:val="Normal"/>
    <w:link w:val="CommentTextChar"/>
    <w:uiPriority w:val="99"/>
    <w:unhideWhenUsed/>
    <w:rsid w:val="008652ED"/>
    <w:pPr>
      <w:spacing w:after="200" w:line="240" w:lineRule="auto"/>
      <w:jc w:val="left"/>
    </w:pPr>
    <w:rPr>
      <w:rFonts w:asciiTheme="minorHAnsi" w:eastAsiaTheme="minorHAnsi" w:hAnsiTheme="minorHAnsi" w:cstheme="minorBidi"/>
      <w:color w:val="auto"/>
      <w:sz w:val="20"/>
      <w:lang w:val="es-CR" w:eastAsia="en-US"/>
    </w:rPr>
  </w:style>
  <w:style w:type="character" w:customStyle="1" w:styleId="CommentTextChar">
    <w:name w:val="Comment Text Char"/>
    <w:basedOn w:val="DefaultParagraphFont"/>
    <w:link w:val="CommentText"/>
    <w:uiPriority w:val="99"/>
    <w:rsid w:val="008652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Jaritza</dc:creator>
  <cp:keywords/>
  <dc:description/>
  <cp:lastModifiedBy>sathiya vikram</cp:lastModifiedBy>
  <cp:revision>3</cp:revision>
  <dcterms:created xsi:type="dcterms:W3CDTF">2020-09-18T14:19:00Z</dcterms:created>
  <dcterms:modified xsi:type="dcterms:W3CDTF">2021-01-05T11:20:00Z</dcterms:modified>
</cp:coreProperties>
</file>