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45D2" w14:textId="386469E6" w:rsidR="00EA1DF4" w:rsidRDefault="00CC0AB8" w:rsidP="00EA1DF4">
      <w:pPr>
        <w:spacing w:line="480" w:lineRule="auto"/>
        <w:rPr>
          <w:b/>
          <w:lang w:val="en-US"/>
        </w:rPr>
      </w:pPr>
      <w:r>
        <w:rPr>
          <w:b/>
          <w:lang w:val="en-US"/>
        </w:rPr>
        <w:t xml:space="preserve">S5 </w:t>
      </w:r>
      <w:r w:rsidR="00EA1DF4" w:rsidRPr="00F81C8B">
        <w:rPr>
          <w:b/>
          <w:lang w:val="en-US"/>
        </w:rPr>
        <w:t>Appendix</w:t>
      </w:r>
      <w:r w:rsidR="00EA1DF4">
        <w:rPr>
          <w:b/>
          <w:lang w:val="en-US"/>
        </w:rPr>
        <w:t>: Tobit Model</w:t>
      </w:r>
    </w:p>
    <w:p w14:paraId="51E36CDE" w14:textId="77777777" w:rsidR="00EA1DF4" w:rsidRDefault="00EA1DF4" w:rsidP="00EA1DF4">
      <w:pPr>
        <w:pStyle w:val="ListParagraph"/>
        <w:spacing w:after="120" w:line="480" w:lineRule="auto"/>
        <w:ind w:left="0" w:firstLine="418"/>
        <w:contextualSpacing w:val="0"/>
        <w:rPr>
          <w:lang w:val="en-US"/>
        </w:rPr>
      </w:pPr>
      <w:r>
        <w:rPr>
          <w:rFonts w:eastAsiaTheme="minorEastAsia" w:cs="Times New Roman"/>
          <w:szCs w:val="24"/>
          <w:lang w:val="en-US"/>
        </w:rPr>
        <w:t>W</w:t>
      </w:r>
      <w:r w:rsidRPr="00F81C8B">
        <w:rPr>
          <w:rFonts w:eastAsiaTheme="minorEastAsia" w:cs="Times New Roman"/>
          <w:szCs w:val="24"/>
          <w:lang w:val="en-US"/>
        </w:rPr>
        <w:t xml:space="preserve">e </w:t>
      </w:r>
      <w:r>
        <w:rPr>
          <w:rFonts w:eastAsiaTheme="minorEastAsia" w:cs="Times New Roman"/>
          <w:szCs w:val="24"/>
          <w:lang w:val="en-US"/>
        </w:rPr>
        <w:t>estimate a Tobit model of effort provision in Table 6. The Tobit model is suitable because the investment in effort is bounded from above and below.</w:t>
      </w:r>
      <w:r w:rsidRPr="00F81C8B">
        <w:rPr>
          <w:rFonts w:eastAsiaTheme="minorEastAsia" w:cs="Times New Roman"/>
          <w:szCs w:val="24"/>
          <w:lang w:val="en-US"/>
        </w:rPr>
        <w:t xml:space="preserve"> </w:t>
      </w:r>
      <w:r>
        <w:rPr>
          <w:rFonts w:eastAsiaTheme="minorEastAsia" w:cs="Times New Roman"/>
          <w:szCs w:val="24"/>
          <w:lang w:val="en-US"/>
        </w:rPr>
        <w:t>We include a treatment dummy variable (Private), the lottery payoff in the low-income state (</w:t>
      </w:r>
      <w:r w:rsidRPr="00F81C8B">
        <w:rPr>
          <w:rFonts w:eastAsiaTheme="minorEastAsia" w:cs="Times New Roman"/>
          <w:szCs w:val="24"/>
          <w:lang w:val="en-US"/>
        </w:rPr>
        <w:t>Payoff</w:t>
      </w:r>
      <w:r w:rsidRPr="00F81C8B">
        <w:rPr>
          <w:rFonts w:eastAsiaTheme="minorEastAsia" w:cs="Times New Roman"/>
          <w:szCs w:val="24"/>
          <w:vertAlign w:val="subscript"/>
          <w:lang w:val="en-US"/>
        </w:rPr>
        <w:t>low</w:t>
      </w:r>
      <w:r>
        <w:rPr>
          <w:rFonts w:eastAsiaTheme="minorEastAsia" w:cs="Times New Roman"/>
          <w:szCs w:val="24"/>
          <w:lang w:val="en-US"/>
        </w:rPr>
        <w:t>), and an interaction term between the two (Private x Payoff</w:t>
      </w:r>
      <w:r w:rsidRPr="00A00D88">
        <w:rPr>
          <w:rFonts w:eastAsiaTheme="minorEastAsia" w:cs="Times New Roman"/>
          <w:szCs w:val="24"/>
          <w:vertAlign w:val="subscript"/>
          <w:lang w:val="en-US"/>
        </w:rPr>
        <w:t>low</w:t>
      </w:r>
      <w:r>
        <w:rPr>
          <w:rFonts w:eastAsiaTheme="minorEastAsia" w:cs="Times New Roman"/>
          <w:szCs w:val="24"/>
          <w:lang w:val="en-US"/>
        </w:rPr>
        <w:t xml:space="preserve">) as explanatory variables to identify financial incentives. We estimate the model with and without controls for the subjects’ age and gender. The coefficient for the private treatment is positive and significant, the coefficient for the payoff in the low-income state is positive but insignificant, and the coefficient for the interaction term is negative and significant. When evaluated at the payoffs used in the experiment, average effort provision does not differ significantly across </w:t>
      </w:r>
      <w:proofErr w:type="gramStart"/>
      <w:r>
        <w:rPr>
          <w:rFonts w:eastAsiaTheme="minorEastAsia" w:cs="Times New Roman"/>
          <w:szCs w:val="24"/>
          <w:lang w:val="en-US"/>
        </w:rPr>
        <w:t>treatments</w:t>
      </w:r>
      <w:proofErr w:type="gramEnd"/>
      <w:r>
        <w:rPr>
          <w:rFonts w:eastAsiaTheme="minorEastAsia" w:cs="Times New Roman"/>
          <w:szCs w:val="24"/>
          <w:lang w:val="en-US"/>
        </w:rPr>
        <w:t xml:space="preserve"> but participants reacted to variations in financial incentives more strongly in the private treatment than in the social treatment.</w:t>
      </w:r>
    </w:p>
    <w:p w14:paraId="1CD469DA" w14:textId="77777777" w:rsidR="00EA1DF4" w:rsidRPr="004708C2" w:rsidRDefault="00EA1DF4" w:rsidP="00EA1DF4">
      <w:pPr>
        <w:spacing w:after="120"/>
        <w:rPr>
          <w:rFonts w:eastAsiaTheme="minorEastAsia" w:cs="Times New Roman"/>
          <w:sz w:val="8"/>
          <w:szCs w:val="8"/>
          <w:lang w:val="en-US"/>
        </w:rPr>
      </w:pPr>
    </w:p>
    <w:tbl>
      <w:tblPr>
        <w:tblStyle w:val="TableGrid"/>
        <w:tblW w:w="0" w:type="auto"/>
        <w:jc w:val="center"/>
        <w:tblLook w:val="04A0" w:firstRow="1" w:lastRow="0" w:firstColumn="1" w:lastColumn="0" w:noHBand="0" w:noVBand="1"/>
      </w:tblPr>
      <w:tblGrid>
        <w:gridCol w:w="1811"/>
        <w:gridCol w:w="450"/>
        <w:gridCol w:w="1213"/>
        <w:gridCol w:w="1213"/>
      </w:tblGrid>
      <w:tr w:rsidR="00EA1DF4" w14:paraId="0203AD9C" w14:textId="77777777" w:rsidTr="00645BA1">
        <w:trPr>
          <w:trHeight w:hRule="exact" w:val="389"/>
          <w:jc w:val="center"/>
        </w:trPr>
        <w:tc>
          <w:tcPr>
            <w:tcW w:w="4687" w:type="dxa"/>
            <w:gridSpan w:val="4"/>
            <w:tcBorders>
              <w:top w:val="single" w:sz="12" w:space="0" w:color="auto"/>
              <w:left w:val="nil"/>
              <w:bottom w:val="single" w:sz="4" w:space="0" w:color="auto"/>
              <w:right w:val="nil"/>
            </w:tcBorders>
          </w:tcPr>
          <w:p w14:paraId="1BED8493" w14:textId="77777777" w:rsidR="00EA1DF4" w:rsidRPr="001921F8" w:rsidRDefault="00EA1DF4" w:rsidP="00645BA1">
            <w:pPr>
              <w:spacing w:after="120"/>
              <w:jc w:val="center"/>
              <w:rPr>
                <w:rFonts w:eastAsiaTheme="minorEastAsia" w:cs="Times New Roman"/>
                <w:sz w:val="20"/>
                <w:szCs w:val="20"/>
                <w:lang w:val="en-US"/>
              </w:rPr>
            </w:pPr>
            <w:r w:rsidRPr="001921F8">
              <w:rPr>
                <w:rFonts w:eastAsiaTheme="minorEastAsia" w:cs="Times New Roman"/>
                <w:sz w:val="20"/>
                <w:szCs w:val="20"/>
                <w:lang w:val="en-US"/>
              </w:rPr>
              <w:t>Tobit Model</w:t>
            </w:r>
          </w:p>
        </w:tc>
      </w:tr>
      <w:tr w:rsidR="00EA1DF4" w14:paraId="3816C66A" w14:textId="77777777" w:rsidTr="00645BA1">
        <w:trPr>
          <w:trHeight w:hRule="exact" w:val="389"/>
          <w:jc w:val="center"/>
        </w:trPr>
        <w:tc>
          <w:tcPr>
            <w:tcW w:w="1811" w:type="dxa"/>
            <w:tcBorders>
              <w:top w:val="single" w:sz="4" w:space="0" w:color="auto"/>
              <w:left w:val="nil"/>
              <w:bottom w:val="nil"/>
              <w:right w:val="nil"/>
            </w:tcBorders>
          </w:tcPr>
          <w:p w14:paraId="6227E19B"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VARIABLES</w:t>
            </w:r>
          </w:p>
        </w:tc>
        <w:tc>
          <w:tcPr>
            <w:tcW w:w="450" w:type="dxa"/>
            <w:tcBorders>
              <w:top w:val="single" w:sz="4" w:space="0" w:color="auto"/>
              <w:left w:val="nil"/>
              <w:bottom w:val="nil"/>
              <w:right w:val="nil"/>
            </w:tcBorders>
          </w:tcPr>
          <w:p w14:paraId="2F06F065" w14:textId="77777777" w:rsidR="00EA1DF4" w:rsidRDefault="00EA1DF4" w:rsidP="00645BA1">
            <w:pPr>
              <w:spacing w:after="120"/>
              <w:rPr>
                <w:rFonts w:eastAsiaTheme="minorEastAsia" w:cs="Times New Roman"/>
                <w:sz w:val="20"/>
                <w:szCs w:val="20"/>
                <w:lang w:val="en-US"/>
              </w:rPr>
            </w:pPr>
          </w:p>
        </w:tc>
        <w:tc>
          <w:tcPr>
            <w:tcW w:w="2426" w:type="dxa"/>
            <w:gridSpan w:val="2"/>
            <w:tcBorders>
              <w:top w:val="single" w:sz="4" w:space="0" w:color="auto"/>
              <w:left w:val="nil"/>
              <w:bottom w:val="single" w:sz="4" w:space="0" w:color="auto"/>
              <w:right w:val="nil"/>
            </w:tcBorders>
            <w:vAlign w:val="center"/>
          </w:tcPr>
          <w:p w14:paraId="3841318D" w14:textId="77777777" w:rsidR="00EA1DF4" w:rsidRPr="001921F8" w:rsidRDefault="00EA1DF4" w:rsidP="00645BA1">
            <w:pPr>
              <w:spacing w:after="120"/>
              <w:jc w:val="center"/>
              <w:rPr>
                <w:rFonts w:eastAsiaTheme="minorEastAsia" w:cs="Times New Roman"/>
                <w:sz w:val="20"/>
                <w:szCs w:val="20"/>
                <w:lang w:val="en-US"/>
              </w:rPr>
            </w:pPr>
            <w:r>
              <w:rPr>
                <w:rFonts w:eastAsiaTheme="minorEastAsia" w:cs="Times New Roman"/>
                <w:sz w:val="20"/>
                <w:szCs w:val="20"/>
                <w:lang w:val="en-US"/>
              </w:rPr>
              <w:t>Investment in effort</w:t>
            </w:r>
          </w:p>
        </w:tc>
      </w:tr>
      <w:tr w:rsidR="00EA1DF4" w14:paraId="57752BE0" w14:textId="77777777" w:rsidTr="00645BA1">
        <w:trPr>
          <w:trHeight w:hRule="exact" w:val="576"/>
          <w:jc w:val="center"/>
        </w:trPr>
        <w:tc>
          <w:tcPr>
            <w:tcW w:w="1811" w:type="dxa"/>
            <w:tcBorders>
              <w:top w:val="nil"/>
              <w:left w:val="nil"/>
              <w:bottom w:val="nil"/>
              <w:right w:val="nil"/>
            </w:tcBorders>
            <w:vAlign w:val="center"/>
          </w:tcPr>
          <w:p w14:paraId="5CC6A254"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Private</w:t>
            </w:r>
          </w:p>
        </w:tc>
        <w:tc>
          <w:tcPr>
            <w:tcW w:w="450" w:type="dxa"/>
            <w:tcBorders>
              <w:top w:val="nil"/>
              <w:left w:val="nil"/>
              <w:bottom w:val="nil"/>
              <w:right w:val="nil"/>
            </w:tcBorders>
          </w:tcPr>
          <w:p w14:paraId="4B4E57D7"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178CBF74"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6.003***</w:t>
            </w:r>
            <w:r>
              <w:rPr>
                <w:rFonts w:eastAsiaTheme="minorEastAsia" w:cs="Times New Roman"/>
                <w:sz w:val="20"/>
                <w:szCs w:val="20"/>
                <w:lang w:val="en-US"/>
              </w:rPr>
              <w:br/>
              <w:t>(2.116)</w:t>
            </w:r>
          </w:p>
        </w:tc>
        <w:tc>
          <w:tcPr>
            <w:tcW w:w="1213" w:type="dxa"/>
            <w:tcBorders>
              <w:top w:val="nil"/>
              <w:left w:val="nil"/>
              <w:bottom w:val="nil"/>
              <w:right w:val="nil"/>
            </w:tcBorders>
            <w:vAlign w:val="center"/>
          </w:tcPr>
          <w:p w14:paraId="0D9991A5"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6.117***</w:t>
            </w:r>
            <w:r>
              <w:rPr>
                <w:rFonts w:eastAsiaTheme="minorEastAsia" w:cs="Times New Roman"/>
                <w:sz w:val="20"/>
                <w:szCs w:val="20"/>
                <w:lang w:val="en-US"/>
              </w:rPr>
              <w:br/>
              <w:t>(2.135)</w:t>
            </w:r>
          </w:p>
        </w:tc>
      </w:tr>
      <w:tr w:rsidR="00EA1DF4" w14:paraId="58F8E343" w14:textId="77777777" w:rsidTr="00645BA1">
        <w:trPr>
          <w:trHeight w:hRule="exact" w:val="576"/>
          <w:jc w:val="center"/>
        </w:trPr>
        <w:tc>
          <w:tcPr>
            <w:tcW w:w="1811" w:type="dxa"/>
            <w:tcBorders>
              <w:top w:val="nil"/>
              <w:left w:val="nil"/>
              <w:bottom w:val="nil"/>
              <w:right w:val="nil"/>
            </w:tcBorders>
            <w:vAlign w:val="center"/>
          </w:tcPr>
          <w:p w14:paraId="45210E69"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Payoff</w:t>
            </w:r>
            <w:r w:rsidRPr="001921F8">
              <w:rPr>
                <w:rFonts w:eastAsiaTheme="minorEastAsia" w:cs="Times New Roman"/>
                <w:sz w:val="20"/>
                <w:szCs w:val="20"/>
                <w:vertAlign w:val="subscript"/>
                <w:lang w:val="en-US"/>
              </w:rPr>
              <w:t>low</w:t>
            </w:r>
          </w:p>
        </w:tc>
        <w:tc>
          <w:tcPr>
            <w:tcW w:w="450" w:type="dxa"/>
            <w:tcBorders>
              <w:top w:val="nil"/>
              <w:left w:val="nil"/>
              <w:bottom w:val="nil"/>
              <w:right w:val="nil"/>
            </w:tcBorders>
          </w:tcPr>
          <w:p w14:paraId="2032AA6A"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52C056EF"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0.030</w:t>
            </w:r>
            <w:r>
              <w:rPr>
                <w:rFonts w:eastAsiaTheme="minorEastAsia" w:cs="Times New Roman"/>
                <w:sz w:val="20"/>
                <w:szCs w:val="20"/>
                <w:lang w:val="en-US"/>
              </w:rPr>
              <w:br/>
              <w:t>(0.148)</w:t>
            </w:r>
          </w:p>
        </w:tc>
        <w:tc>
          <w:tcPr>
            <w:tcW w:w="1213" w:type="dxa"/>
            <w:tcBorders>
              <w:top w:val="nil"/>
              <w:left w:val="nil"/>
              <w:bottom w:val="nil"/>
              <w:right w:val="nil"/>
            </w:tcBorders>
            <w:vAlign w:val="center"/>
          </w:tcPr>
          <w:p w14:paraId="37D3F208"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0.039</w:t>
            </w:r>
            <w:r>
              <w:rPr>
                <w:rFonts w:eastAsiaTheme="minorEastAsia" w:cs="Times New Roman"/>
                <w:sz w:val="20"/>
                <w:szCs w:val="20"/>
                <w:lang w:val="en-US"/>
              </w:rPr>
              <w:br/>
              <w:t>(0.148)</w:t>
            </w:r>
          </w:p>
        </w:tc>
      </w:tr>
      <w:tr w:rsidR="00EA1DF4" w14:paraId="3E02B428" w14:textId="77777777" w:rsidTr="00645BA1">
        <w:trPr>
          <w:trHeight w:hRule="exact" w:val="576"/>
          <w:jc w:val="center"/>
        </w:trPr>
        <w:tc>
          <w:tcPr>
            <w:tcW w:w="1811" w:type="dxa"/>
            <w:tcBorders>
              <w:top w:val="nil"/>
              <w:left w:val="nil"/>
              <w:bottom w:val="nil"/>
              <w:right w:val="nil"/>
            </w:tcBorders>
            <w:vAlign w:val="center"/>
          </w:tcPr>
          <w:p w14:paraId="5F3370AF"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Private x Payoff</w:t>
            </w:r>
            <w:r w:rsidRPr="001921F8">
              <w:rPr>
                <w:rFonts w:eastAsiaTheme="minorEastAsia" w:cs="Times New Roman"/>
                <w:sz w:val="20"/>
                <w:szCs w:val="20"/>
                <w:vertAlign w:val="subscript"/>
                <w:lang w:val="en-US"/>
              </w:rPr>
              <w:t>low</w:t>
            </w:r>
          </w:p>
        </w:tc>
        <w:tc>
          <w:tcPr>
            <w:tcW w:w="450" w:type="dxa"/>
            <w:tcBorders>
              <w:top w:val="nil"/>
              <w:left w:val="nil"/>
              <w:bottom w:val="nil"/>
              <w:right w:val="nil"/>
            </w:tcBorders>
          </w:tcPr>
          <w:p w14:paraId="5376C044"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0DBAD09D"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-0.742***</w:t>
            </w:r>
            <w:r>
              <w:rPr>
                <w:rFonts w:eastAsiaTheme="minorEastAsia" w:cs="Times New Roman"/>
                <w:sz w:val="20"/>
                <w:szCs w:val="20"/>
                <w:lang w:val="en-US"/>
              </w:rPr>
              <w:br/>
              <w:t>(0.228)</w:t>
            </w:r>
          </w:p>
        </w:tc>
        <w:tc>
          <w:tcPr>
            <w:tcW w:w="1213" w:type="dxa"/>
            <w:tcBorders>
              <w:top w:val="nil"/>
              <w:left w:val="nil"/>
              <w:bottom w:val="nil"/>
              <w:right w:val="nil"/>
            </w:tcBorders>
            <w:vAlign w:val="center"/>
          </w:tcPr>
          <w:p w14:paraId="52E1DDB1"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-0.751***</w:t>
            </w:r>
            <w:r>
              <w:rPr>
                <w:rFonts w:eastAsiaTheme="minorEastAsia" w:cs="Times New Roman"/>
                <w:sz w:val="20"/>
                <w:szCs w:val="20"/>
                <w:lang w:val="en-US"/>
              </w:rPr>
              <w:br/>
              <w:t>(0.230)</w:t>
            </w:r>
          </w:p>
        </w:tc>
      </w:tr>
      <w:tr w:rsidR="00EA1DF4" w14:paraId="67396694" w14:textId="77777777" w:rsidTr="00645BA1">
        <w:trPr>
          <w:trHeight w:hRule="exact" w:val="576"/>
          <w:jc w:val="center"/>
        </w:trPr>
        <w:tc>
          <w:tcPr>
            <w:tcW w:w="1811" w:type="dxa"/>
            <w:tcBorders>
              <w:top w:val="nil"/>
              <w:left w:val="nil"/>
              <w:bottom w:val="nil"/>
              <w:right w:val="nil"/>
            </w:tcBorders>
            <w:vAlign w:val="center"/>
          </w:tcPr>
          <w:p w14:paraId="08C628BE"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 xml:space="preserve">Female </w:t>
            </w:r>
          </w:p>
        </w:tc>
        <w:tc>
          <w:tcPr>
            <w:tcW w:w="450" w:type="dxa"/>
            <w:tcBorders>
              <w:top w:val="nil"/>
              <w:left w:val="nil"/>
              <w:bottom w:val="nil"/>
              <w:right w:val="nil"/>
            </w:tcBorders>
          </w:tcPr>
          <w:p w14:paraId="3515BC11"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1DDCB71D" w14:textId="77777777" w:rsidR="00EA1DF4" w:rsidRPr="001921F8" w:rsidRDefault="00EA1DF4" w:rsidP="00645BA1">
            <w:pPr>
              <w:jc w:val="center"/>
              <w:rPr>
                <w:rFonts w:eastAsiaTheme="minorEastAsia" w:cs="Times New Roman"/>
                <w:sz w:val="20"/>
                <w:szCs w:val="20"/>
                <w:lang w:val="en-US"/>
              </w:rPr>
            </w:pPr>
          </w:p>
        </w:tc>
        <w:tc>
          <w:tcPr>
            <w:tcW w:w="1213" w:type="dxa"/>
            <w:tcBorders>
              <w:top w:val="nil"/>
              <w:left w:val="nil"/>
              <w:bottom w:val="nil"/>
              <w:right w:val="nil"/>
            </w:tcBorders>
            <w:vAlign w:val="center"/>
          </w:tcPr>
          <w:p w14:paraId="37698C55"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0.420</w:t>
            </w:r>
            <w:r>
              <w:rPr>
                <w:rFonts w:eastAsiaTheme="minorEastAsia" w:cs="Times New Roman"/>
                <w:sz w:val="20"/>
                <w:szCs w:val="20"/>
                <w:lang w:val="en-US"/>
              </w:rPr>
              <w:br/>
              <w:t>(0.486)</w:t>
            </w:r>
          </w:p>
        </w:tc>
      </w:tr>
      <w:tr w:rsidR="00EA1DF4" w14:paraId="7E23F280" w14:textId="77777777" w:rsidTr="00645BA1">
        <w:trPr>
          <w:trHeight w:hRule="exact" w:val="576"/>
          <w:jc w:val="center"/>
        </w:trPr>
        <w:tc>
          <w:tcPr>
            <w:tcW w:w="1811" w:type="dxa"/>
            <w:tcBorders>
              <w:top w:val="nil"/>
              <w:left w:val="nil"/>
              <w:bottom w:val="nil"/>
              <w:right w:val="nil"/>
            </w:tcBorders>
            <w:vAlign w:val="center"/>
          </w:tcPr>
          <w:p w14:paraId="20212378"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Age</w:t>
            </w:r>
          </w:p>
        </w:tc>
        <w:tc>
          <w:tcPr>
            <w:tcW w:w="450" w:type="dxa"/>
            <w:tcBorders>
              <w:top w:val="nil"/>
              <w:left w:val="nil"/>
              <w:bottom w:val="nil"/>
              <w:right w:val="nil"/>
            </w:tcBorders>
          </w:tcPr>
          <w:p w14:paraId="325A750E"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53497858" w14:textId="77777777" w:rsidR="00EA1DF4" w:rsidRPr="001921F8" w:rsidRDefault="00EA1DF4" w:rsidP="00645BA1">
            <w:pPr>
              <w:jc w:val="center"/>
              <w:rPr>
                <w:rFonts w:eastAsiaTheme="minorEastAsia" w:cs="Times New Roman"/>
                <w:sz w:val="20"/>
                <w:szCs w:val="20"/>
                <w:lang w:val="en-US"/>
              </w:rPr>
            </w:pPr>
          </w:p>
        </w:tc>
        <w:tc>
          <w:tcPr>
            <w:tcW w:w="1213" w:type="dxa"/>
            <w:tcBorders>
              <w:top w:val="nil"/>
              <w:left w:val="nil"/>
              <w:bottom w:val="nil"/>
              <w:right w:val="nil"/>
            </w:tcBorders>
            <w:vAlign w:val="center"/>
          </w:tcPr>
          <w:p w14:paraId="449AB524"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0.028</w:t>
            </w:r>
            <w:r>
              <w:rPr>
                <w:rFonts w:eastAsiaTheme="minorEastAsia" w:cs="Times New Roman"/>
                <w:sz w:val="20"/>
                <w:szCs w:val="20"/>
                <w:lang w:val="en-US"/>
              </w:rPr>
              <w:br/>
              <w:t>(0.025)</w:t>
            </w:r>
          </w:p>
        </w:tc>
      </w:tr>
      <w:tr w:rsidR="00EA1DF4" w14:paraId="33CE0A5B" w14:textId="77777777" w:rsidTr="00645BA1">
        <w:trPr>
          <w:trHeight w:hRule="exact" w:val="576"/>
          <w:jc w:val="center"/>
        </w:trPr>
        <w:tc>
          <w:tcPr>
            <w:tcW w:w="1811" w:type="dxa"/>
            <w:tcBorders>
              <w:top w:val="nil"/>
              <w:left w:val="nil"/>
              <w:bottom w:val="nil"/>
              <w:right w:val="nil"/>
            </w:tcBorders>
            <w:vAlign w:val="center"/>
          </w:tcPr>
          <w:p w14:paraId="441B2331"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Constant</w:t>
            </w:r>
          </w:p>
        </w:tc>
        <w:tc>
          <w:tcPr>
            <w:tcW w:w="450" w:type="dxa"/>
            <w:tcBorders>
              <w:top w:val="nil"/>
              <w:left w:val="nil"/>
              <w:bottom w:val="nil"/>
              <w:right w:val="nil"/>
            </w:tcBorders>
          </w:tcPr>
          <w:p w14:paraId="6021F108"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11289EC5" w14:textId="77777777" w:rsidR="00EA1DF4" w:rsidRDefault="00EA1DF4" w:rsidP="00645BA1">
            <w:pPr>
              <w:jc w:val="center"/>
              <w:rPr>
                <w:rFonts w:eastAsiaTheme="minorEastAsia" w:cs="Times New Roman"/>
                <w:sz w:val="20"/>
                <w:szCs w:val="20"/>
                <w:lang w:val="en-US"/>
              </w:rPr>
            </w:pPr>
            <w:r>
              <w:rPr>
                <w:rFonts w:eastAsiaTheme="minorEastAsia" w:cs="Times New Roman"/>
                <w:sz w:val="20"/>
                <w:szCs w:val="20"/>
                <w:lang w:val="en-US"/>
              </w:rPr>
              <w:t>2.932</w:t>
            </w:r>
          </w:p>
          <w:p w14:paraId="5E5F9D64"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(1.388)</w:t>
            </w:r>
          </w:p>
        </w:tc>
        <w:tc>
          <w:tcPr>
            <w:tcW w:w="1213" w:type="dxa"/>
            <w:tcBorders>
              <w:top w:val="nil"/>
              <w:left w:val="nil"/>
              <w:bottom w:val="nil"/>
              <w:right w:val="nil"/>
            </w:tcBorders>
            <w:vAlign w:val="center"/>
          </w:tcPr>
          <w:p w14:paraId="1525FD84" w14:textId="77777777" w:rsidR="00EA1DF4" w:rsidRDefault="00EA1DF4" w:rsidP="00645BA1">
            <w:pPr>
              <w:jc w:val="center"/>
              <w:rPr>
                <w:rFonts w:eastAsiaTheme="minorEastAsia" w:cs="Times New Roman"/>
                <w:sz w:val="20"/>
                <w:szCs w:val="20"/>
                <w:lang w:val="en-US"/>
              </w:rPr>
            </w:pPr>
            <w:r>
              <w:rPr>
                <w:rFonts w:eastAsiaTheme="minorEastAsia" w:cs="Times New Roman"/>
                <w:sz w:val="20"/>
                <w:szCs w:val="20"/>
                <w:lang w:val="en-US"/>
              </w:rPr>
              <w:t>1.886</w:t>
            </w:r>
          </w:p>
          <w:p w14:paraId="6D7B71EA"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(1.572)</w:t>
            </w:r>
          </w:p>
        </w:tc>
      </w:tr>
      <w:tr w:rsidR="00EA1DF4" w14:paraId="0EEA79D4" w14:textId="77777777" w:rsidTr="00645BA1">
        <w:trPr>
          <w:trHeight w:hRule="exact" w:val="288"/>
          <w:jc w:val="center"/>
        </w:trPr>
        <w:tc>
          <w:tcPr>
            <w:tcW w:w="1811" w:type="dxa"/>
            <w:tcBorders>
              <w:top w:val="nil"/>
              <w:left w:val="nil"/>
              <w:bottom w:val="nil"/>
              <w:right w:val="nil"/>
            </w:tcBorders>
            <w:vAlign w:val="center"/>
          </w:tcPr>
          <w:p w14:paraId="027011B7" w14:textId="77777777" w:rsidR="00EA1DF4" w:rsidRPr="001921F8" w:rsidRDefault="00EA1DF4" w:rsidP="00645BA1">
            <w:pPr>
              <w:spacing w:after="120"/>
              <w:rPr>
                <w:rFonts w:eastAsiaTheme="minorEastAsia" w:cs="Times New Roman"/>
                <w:sz w:val="20"/>
                <w:szCs w:val="20"/>
                <w:lang w:val="en-US"/>
              </w:rPr>
            </w:pPr>
          </w:p>
        </w:tc>
        <w:tc>
          <w:tcPr>
            <w:tcW w:w="450" w:type="dxa"/>
            <w:tcBorders>
              <w:top w:val="nil"/>
              <w:left w:val="nil"/>
              <w:bottom w:val="nil"/>
              <w:right w:val="nil"/>
            </w:tcBorders>
          </w:tcPr>
          <w:p w14:paraId="206445FD"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41DDD0B5"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nil"/>
              <w:right w:val="nil"/>
            </w:tcBorders>
            <w:vAlign w:val="center"/>
          </w:tcPr>
          <w:p w14:paraId="759C7968" w14:textId="77777777" w:rsidR="00EA1DF4" w:rsidRPr="001921F8" w:rsidRDefault="00EA1DF4" w:rsidP="00645BA1">
            <w:pPr>
              <w:spacing w:after="120"/>
              <w:jc w:val="center"/>
              <w:rPr>
                <w:rFonts w:eastAsiaTheme="minorEastAsia" w:cs="Times New Roman"/>
                <w:sz w:val="20"/>
                <w:szCs w:val="20"/>
                <w:lang w:val="en-US"/>
              </w:rPr>
            </w:pPr>
          </w:p>
        </w:tc>
      </w:tr>
      <w:tr w:rsidR="00EA1DF4" w14:paraId="279F8577" w14:textId="77777777" w:rsidTr="00645BA1">
        <w:trPr>
          <w:trHeight w:hRule="exact" w:val="389"/>
          <w:jc w:val="center"/>
        </w:trPr>
        <w:tc>
          <w:tcPr>
            <w:tcW w:w="1811" w:type="dxa"/>
            <w:tcBorders>
              <w:top w:val="nil"/>
              <w:left w:val="nil"/>
              <w:bottom w:val="single" w:sz="4" w:space="0" w:color="auto"/>
              <w:right w:val="nil"/>
            </w:tcBorders>
            <w:vAlign w:val="center"/>
          </w:tcPr>
          <w:p w14:paraId="545074FC" w14:textId="77777777" w:rsidR="00EA1DF4" w:rsidRPr="001921F8" w:rsidRDefault="00EA1DF4" w:rsidP="00645BA1">
            <w:pPr>
              <w:spacing w:after="120"/>
              <w:rPr>
                <w:rFonts w:eastAsiaTheme="minorEastAsia" w:cs="Times New Roman"/>
                <w:sz w:val="20"/>
                <w:szCs w:val="20"/>
                <w:lang w:val="en-US"/>
              </w:rPr>
            </w:pPr>
            <w:r>
              <w:rPr>
                <w:rFonts w:eastAsiaTheme="minorEastAsia" w:cs="Times New Roman"/>
                <w:sz w:val="20"/>
                <w:szCs w:val="20"/>
                <w:lang w:val="en-US"/>
              </w:rPr>
              <w:t>Observations</w:t>
            </w:r>
          </w:p>
        </w:tc>
        <w:tc>
          <w:tcPr>
            <w:tcW w:w="450" w:type="dxa"/>
            <w:tcBorders>
              <w:top w:val="nil"/>
              <w:left w:val="nil"/>
              <w:bottom w:val="single" w:sz="4" w:space="0" w:color="auto"/>
              <w:right w:val="nil"/>
            </w:tcBorders>
          </w:tcPr>
          <w:p w14:paraId="2DA4BF84" w14:textId="77777777" w:rsidR="00EA1DF4" w:rsidRPr="001921F8" w:rsidRDefault="00EA1DF4" w:rsidP="00645BA1">
            <w:pPr>
              <w:spacing w:after="120"/>
              <w:rPr>
                <w:rFonts w:eastAsiaTheme="minorEastAsia" w:cs="Times New Roman"/>
                <w:sz w:val="20"/>
                <w:szCs w:val="20"/>
                <w:lang w:val="en-US"/>
              </w:rPr>
            </w:pPr>
          </w:p>
        </w:tc>
        <w:tc>
          <w:tcPr>
            <w:tcW w:w="1213" w:type="dxa"/>
            <w:tcBorders>
              <w:top w:val="nil"/>
              <w:left w:val="nil"/>
              <w:bottom w:val="single" w:sz="4" w:space="0" w:color="auto"/>
              <w:right w:val="nil"/>
            </w:tcBorders>
            <w:vAlign w:val="center"/>
          </w:tcPr>
          <w:p w14:paraId="2453E7DF" w14:textId="77777777" w:rsidR="00EA1DF4" w:rsidRPr="001921F8" w:rsidRDefault="00EA1DF4" w:rsidP="00645BA1">
            <w:pPr>
              <w:spacing w:after="120"/>
              <w:jc w:val="center"/>
              <w:rPr>
                <w:rFonts w:eastAsiaTheme="minorEastAsia" w:cs="Times New Roman"/>
                <w:sz w:val="20"/>
                <w:szCs w:val="20"/>
                <w:lang w:val="en-US"/>
              </w:rPr>
            </w:pPr>
            <w:r>
              <w:rPr>
                <w:rFonts w:eastAsiaTheme="minorEastAsia" w:cs="Times New Roman"/>
                <w:sz w:val="20"/>
                <w:szCs w:val="20"/>
                <w:lang w:val="en-US"/>
              </w:rPr>
              <w:t>78</w:t>
            </w:r>
          </w:p>
        </w:tc>
        <w:tc>
          <w:tcPr>
            <w:tcW w:w="1213" w:type="dxa"/>
            <w:tcBorders>
              <w:top w:val="nil"/>
              <w:left w:val="nil"/>
              <w:bottom w:val="single" w:sz="4" w:space="0" w:color="auto"/>
              <w:right w:val="nil"/>
            </w:tcBorders>
            <w:vAlign w:val="center"/>
          </w:tcPr>
          <w:p w14:paraId="41F32357" w14:textId="77777777" w:rsidR="00EA1DF4" w:rsidRPr="001921F8" w:rsidRDefault="00EA1DF4" w:rsidP="00645BA1">
            <w:pPr>
              <w:spacing w:after="120"/>
              <w:jc w:val="center"/>
              <w:rPr>
                <w:rFonts w:eastAsiaTheme="minorEastAsia" w:cs="Times New Roman"/>
                <w:sz w:val="20"/>
                <w:szCs w:val="20"/>
                <w:lang w:val="en-US"/>
              </w:rPr>
            </w:pPr>
            <w:r>
              <w:rPr>
                <w:rFonts w:eastAsiaTheme="minorEastAsia" w:cs="Times New Roman"/>
                <w:sz w:val="20"/>
                <w:szCs w:val="20"/>
                <w:lang w:val="en-US"/>
              </w:rPr>
              <w:t>78</w:t>
            </w:r>
          </w:p>
        </w:tc>
      </w:tr>
      <w:tr w:rsidR="00EA1DF4" w14:paraId="1F352900" w14:textId="77777777" w:rsidTr="00645BA1">
        <w:trPr>
          <w:trHeight w:hRule="exact" w:val="648"/>
          <w:jc w:val="center"/>
        </w:trPr>
        <w:tc>
          <w:tcPr>
            <w:tcW w:w="4687" w:type="dxa"/>
            <w:gridSpan w:val="4"/>
            <w:tcBorders>
              <w:top w:val="single" w:sz="4" w:space="0" w:color="auto"/>
              <w:left w:val="nil"/>
              <w:bottom w:val="single" w:sz="12" w:space="0" w:color="auto"/>
              <w:right w:val="nil"/>
            </w:tcBorders>
            <w:vAlign w:val="center"/>
          </w:tcPr>
          <w:p w14:paraId="2DCFFD4C" w14:textId="77777777" w:rsidR="00EA1DF4" w:rsidRPr="001921F8" w:rsidRDefault="00EA1DF4" w:rsidP="00645BA1">
            <w:pPr>
              <w:jc w:val="center"/>
              <w:rPr>
                <w:rFonts w:eastAsiaTheme="minorEastAsia" w:cs="Times New Roman"/>
                <w:sz w:val="20"/>
                <w:szCs w:val="20"/>
                <w:lang w:val="en-US"/>
              </w:rPr>
            </w:pPr>
            <w:r>
              <w:rPr>
                <w:rFonts w:eastAsiaTheme="minorEastAsia" w:cs="Times New Roman"/>
                <w:sz w:val="20"/>
                <w:szCs w:val="20"/>
                <w:lang w:val="en-US"/>
              </w:rPr>
              <w:t>Standard errors in parentheses</w:t>
            </w:r>
            <w:r>
              <w:rPr>
                <w:rFonts w:eastAsiaTheme="minorEastAsia" w:cs="Times New Roman"/>
                <w:sz w:val="20"/>
                <w:szCs w:val="20"/>
                <w:lang w:val="en-US"/>
              </w:rPr>
              <w:br/>
              <w:t>*** p&lt;0.01, ** p&lt;0.05, * p&lt;0.1</w:t>
            </w:r>
          </w:p>
        </w:tc>
      </w:tr>
    </w:tbl>
    <w:p w14:paraId="5572970D" w14:textId="77777777" w:rsidR="00EA1DF4" w:rsidRPr="00F81C8B" w:rsidRDefault="00EA1DF4" w:rsidP="00EA1DF4">
      <w:pPr>
        <w:pStyle w:val="Caption"/>
      </w:pPr>
      <w:r w:rsidRPr="00F81C8B">
        <w:t xml:space="preserve">Table </w:t>
      </w:r>
      <w:r>
        <w:t>6</w:t>
      </w:r>
      <w:r w:rsidRPr="00F81C8B">
        <w:t xml:space="preserve">: Tobit model </w:t>
      </w:r>
      <w:r>
        <w:t>of</w:t>
      </w:r>
      <w:r w:rsidRPr="00F81C8B">
        <w:t xml:space="preserve"> effort provision by subject Y individuals</w:t>
      </w:r>
      <w:r>
        <w:t>.</w:t>
      </w:r>
    </w:p>
    <w:p w14:paraId="785A0931" w14:textId="77777777" w:rsidR="005A04AC" w:rsidRPr="003877E3" w:rsidRDefault="005A04AC" w:rsidP="005A04AC">
      <w:pPr>
        <w:spacing w:after="100" w:line="276" w:lineRule="auto"/>
        <w:rPr>
          <w:b/>
          <w:szCs w:val="24"/>
          <w:lang w:val="en-US"/>
        </w:rPr>
      </w:pPr>
      <w:r>
        <w:rPr>
          <w:rFonts w:cs="Times New Roman"/>
          <w:b/>
          <w:szCs w:val="24"/>
          <w:lang w:val="en-US"/>
        </w:rPr>
        <w:t xml:space="preserve">Supplementary </w:t>
      </w:r>
      <w:r w:rsidRPr="004708C2">
        <w:rPr>
          <w:rFonts w:cs="Times New Roman"/>
          <w:b/>
          <w:szCs w:val="24"/>
          <w:lang w:val="en-US"/>
        </w:rPr>
        <w:t>References</w:t>
      </w:r>
    </w:p>
    <w:p w14:paraId="311FA4CC" w14:textId="465C269B" w:rsidR="005A04AC" w:rsidRPr="003877E3" w:rsidRDefault="00605613" w:rsidP="00605613">
      <w:pPr>
        <w:pStyle w:val="ListParagraph"/>
        <w:spacing w:after="100" w:line="240" w:lineRule="auto"/>
        <w:ind w:left="432"/>
        <w:contextualSpacing w:val="0"/>
        <w:rPr>
          <w:szCs w:val="24"/>
          <w:lang w:val="en-US"/>
        </w:rPr>
      </w:pPr>
      <w:r>
        <w:rPr>
          <w:rFonts w:cs="Times New Roman"/>
          <w:szCs w:val="24"/>
          <w:lang w:val="en-US"/>
        </w:rPr>
        <w:lastRenderedPageBreak/>
        <w:t xml:space="preserve">[53] </w:t>
      </w:r>
      <w:r w:rsidR="005A04AC" w:rsidRPr="004708C2">
        <w:rPr>
          <w:rFonts w:cs="Times New Roman"/>
          <w:szCs w:val="24"/>
          <w:lang w:val="en-US"/>
        </w:rPr>
        <w:t>Courbage C</w:t>
      </w:r>
      <w:r w:rsidR="005A04AC" w:rsidRPr="003877E3">
        <w:rPr>
          <w:rFonts w:cs="Times New Roman"/>
          <w:szCs w:val="24"/>
          <w:lang w:val="en-US"/>
        </w:rPr>
        <w:t>, Loubergé</w:t>
      </w:r>
      <w:r w:rsidR="005A04AC" w:rsidRPr="004708C2">
        <w:rPr>
          <w:rFonts w:cs="Times New Roman"/>
          <w:szCs w:val="24"/>
          <w:lang w:val="en-US"/>
        </w:rPr>
        <w:t xml:space="preserve"> H, </w:t>
      </w:r>
      <w:r w:rsidR="005A04AC" w:rsidRPr="003877E3">
        <w:rPr>
          <w:rFonts w:cs="Times New Roman"/>
          <w:szCs w:val="24"/>
          <w:lang w:val="en-US"/>
        </w:rPr>
        <w:t>Peter</w:t>
      </w:r>
      <w:r w:rsidR="005A04AC" w:rsidRPr="004708C2">
        <w:rPr>
          <w:rFonts w:cs="Times New Roman"/>
          <w:szCs w:val="24"/>
          <w:lang w:val="en-US"/>
        </w:rPr>
        <w:t xml:space="preserve"> R. Optimal</w:t>
      </w:r>
      <w:r w:rsidR="005A04AC" w:rsidRPr="003877E3">
        <w:rPr>
          <w:rFonts w:cs="Times New Roman"/>
          <w:szCs w:val="24"/>
          <w:lang w:val="en-US"/>
        </w:rPr>
        <w:t xml:space="preserve"> Prevention for Multipl</w:t>
      </w:r>
      <w:r w:rsidR="005A04AC" w:rsidRPr="004708C2">
        <w:rPr>
          <w:rFonts w:cs="Times New Roman"/>
          <w:szCs w:val="24"/>
          <w:lang w:val="en-US"/>
        </w:rPr>
        <w:t>e Risks.</w:t>
      </w:r>
      <w:r w:rsidR="005A04AC" w:rsidRPr="003877E3">
        <w:rPr>
          <w:rFonts w:cs="Times New Roman"/>
          <w:szCs w:val="24"/>
          <w:lang w:val="en-US"/>
        </w:rPr>
        <w:t xml:space="preserve"> </w:t>
      </w:r>
      <w:r w:rsidR="005A04AC" w:rsidRPr="004708C2">
        <w:rPr>
          <w:rFonts w:cs="Times New Roman"/>
          <w:szCs w:val="24"/>
          <w:lang w:val="en-US"/>
        </w:rPr>
        <w:t xml:space="preserve">Journal of Risk and Insurance. 2017; </w:t>
      </w:r>
      <w:r w:rsidR="005A04AC" w:rsidRPr="003877E3">
        <w:rPr>
          <w:rFonts w:cs="Times New Roman"/>
          <w:szCs w:val="24"/>
          <w:lang w:val="en-US"/>
        </w:rPr>
        <w:t>84(3): 899-922</w:t>
      </w:r>
      <w:r w:rsidR="005A04AC" w:rsidRPr="004708C2">
        <w:rPr>
          <w:rFonts w:cs="Times New Roman"/>
          <w:szCs w:val="24"/>
          <w:lang w:val="en-US"/>
        </w:rPr>
        <w:t>.</w:t>
      </w:r>
    </w:p>
    <w:p w14:paraId="2601F3A9" w14:textId="7BBACE64" w:rsidR="005A04AC" w:rsidRPr="004708C2" w:rsidRDefault="00605613" w:rsidP="00605613">
      <w:pPr>
        <w:pStyle w:val="ListParagraph"/>
        <w:spacing w:after="100" w:line="240" w:lineRule="auto"/>
        <w:ind w:left="432"/>
        <w:contextualSpacing w:val="0"/>
        <w:rPr>
          <w:rFonts w:cs="Times New Roman"/>
          <w:szCs w:val="24"/>
          <w:lang w:val="en-US"/>
        </w:rPr>
      </w:pPr>
      <w:r>
        <w:rPr>
          <w:rFonts w:cs="Times New Roman"/>
          <w:szCs w:val="24"/>
          <w:lang w:val="en-US"/>
        </w:rPr>
        <w:t xml:space="preserve">[54] </w:t>
      </w:r>
      <w:r w:rsidR="005A04AC" w:rsidRPr="004708C2">
        <w:rPr>
          <w:rFonts w:cs="Times New Roman"/>
          <w:szCs w:val="24"/>
          <w:lang w:val="en-US"/>
        </w:rPr>
        <w:t>Knoller C</w:t>
      </w:r>
      <w:r w:rsidR="005A04AC" w:rsidRPr="00125B80">
        <w:rPr>
          <w:rFonts w:cs="Times New Roman"/>
          <w:szCs w:val="24"/>
          <w:lang w:val="en-US"/>
        </w:rPr>
        <w:t>, Neuß</w:t>
      </w:r>
      <w:r w:rsidR="005A04AC" w:rsidRPr="004708C2">
        <w:rPr>
          <w:rFonts w:cs="Times New Roman"/>
          <w:szCs w:val="24"/>
          <w:lang w:val="en-US"/>
        </w:rPr>
        <w:t xml:space="preserve"> S</w:t>
      </w:r>
      <w:r w:rsidR="005A04AC" w:rsidRPr="00125B80">
        <w:rPr>
          <w:rFonts w:cs="Times New Roman"/>
          <w:szCs w:val="24"/>
          <w:lang w:val="en-US"/>
        </w:rPr>
        <w:t>, Peter</w:t>
      </w:r>
      <w:r w:rsidR="005A04AC" w:rsidRPr="004708C2">
        <w:rPr>
          <w:rFonts w:cs="Times New Roman"/>
          <w:szCs w:val="24"/>
          <w:lang w:val="en-US"/>
        </w:rPr>
        <w:t xml:space="preserve"> R.</w:t>
      </w:r>
      <w:r w:rsidR="005A04AC" w:rsidRPr="00125B80">
        <w:rPr>
          <w:rFonts w:cs="Times New Roman"/>
          <w:szCs w:val="24"/>
          <w:lang w:val="en-US"/>
        </w:rPr>
        <w:t xml:space="preserve"> How Social Preferences Mitigate Moral Hazard in Situations of Financial Support</w:t>
      </w:r>
      <w:r w:rsidR="005A04AC" w:rsidRPr="004708C2">
        <w:rPr>
          <w:rFonts w:cs="Times New Roman"/>
          <w:szCs w:val="24"/>
          <w:lang w:val="en-US"/>
        </w:rPr>
        <w:t>.</w:t>
      </w:r>
      <w:r w:rsidR="005A04AC" w:rsidRPr="00125B80">
        <w:rPr>
          <w:rFonts w:cs="Times New Roman"/>
          <w:szCs w:val="24"/>
          <w:lang w:val="en-US"/>
        </w:rPr>
        <w:t xml:space="preserve"> Working Paper,</w:t>
      </w:r>
      <w:r w:rsidR="005A04AC" w:rsidRPr="004708C2">
        <w:rPr>
          <w:rFonts w:cs="Times New Roman"/>
          <w:szCs w:val="24"/>
          <w:lang w:val="en-US"/>
        </w:rPr>
        <w:t xml:space="preserve"> University of Iowa</w:t>
      </w:r>
      <w:r w:rsidR="005A04AC">
        <w:rPr>
          <w:rFonts w:cs="Times New Roman"/>
          <w:szCs w:val="24"/>
          <w:lang w:val="en-US"/>
        </w:rPr>
        <w:t>, Department of Finance</w:t>
      </w:r>
      <w:r w:rsidR="005A04AC" w:rsidRPr="004708C2">
        <w:rPr>
          <w:rFonts w:cs="Times New Roman"/>
          <w:szCs w:val="24"/>
          <w:lang w:val="en-US"/>
        </w:rPr>
        <w:t xml:space="preserve">. 2018; </w:t>
      </w:r>
      <w:hyperlink r:id="rId7" w:history="1">
        <w:r w:rsidR="005A04AC" w:rsidRPr="004708C2">
          <w:rPr>
            <w:rStyle w:val="Hyperlink"/>
            <w:szCs w:val="24"/>
            <w:lang w:val="en-US"/>
          </w:rPr>
          <w:t xml:space="preserve">http://dx.doi.org/10.2139/ssrn.3257434. </w:t>
        </w:r>
      </w:hyperlink>
    </w:p>
    <w:p w14:paraId="33ED7429" w14:textId="392F1517" w:rsidR="005A04AC" w:rsidRPr="004708C2" w:rsidRDefault="00605613" w:rsidP="00605613">
      <w:pPr>
        <w:pStyle w:val="ListParagraph"/>
        <w:spacing w:after="100" w:line="240" w:lineRule="auto"/>
        <w:ind w:left="426"/>
        <w:contextualSpacing w:val="0"/>
        <w:rPr>
          <w:rFonts w:cs="Times New Roman"/>
          <w:szCs w:val="24"/>
          <w:lang w:val="en-US"/>
        </w:rPr>
      </w:pPr>
      <w:r>
        <w:rPr>
          <w:szCs w:val="24"/>
          <w:lang w:val="en-US"/>
        </w:rPr>
        <w:t xml:space="preserve">[55] </w:t>
      </w:r>
      <w:r w:rsidR="005A04AC" w:rsidRPr="004708C2">
        <w:rPr>
          <w:szCs w:val="24"/>
          <w:lang w:val="en-US"/>
        </w:rPr>
        <w:t>Engel, C. Dictator Games: A Meta Study. Experimental Economics. 2011; 14(4): 583-610.</w:t>
      </w:r>
    </w:p>
    <w:p w14:paraId="378E1399" w14:textId="77777777" w:rsidR="005A04AC" w:rsidRPr="00234017" w:rsidRDefault="005A04AC" w:rsidP="009955C9"/>
    <w:p w14:paraId="2819B473" w14:textId="77777777" w:rsidR="005F546B" w:rsidRDefault="005F546B"/>
    <w:sectPr w:rsidR="005F546B" w:rsidSect="00645BA1">
      <w:footerReference w:type="default" r:id="rId8"/>
      <w:pgSz w:w="12240" w:h="15840" w:code="1"/>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331D" w14:textId="77777777" w:rsidR="000D27C6" w:rsidRDefault="009955C9">
      <w:pPr>
        <w:spacing w:after="0" w:line="240" w:lineRule="auto"/>
      </w:pPr>
      <w:r>
        <w:separator/>
      </w:r>
    </w:p>
  </w:endnote>
  <w:endnote w:type="continuationSeparator" w:id="0">
    <w:p w14:paraId="5BE9625C" w14:textId="77777777" w:rsidR="000D27C6" w:rsidRDefault="0099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962077"/>
      <w:docPartObj>
        <w:docPartGallery w:val="Page Numbers (Bottom of Page)"/>
        <w:docPartUnique/>
      </w:docPartObj>
    </w:sdtPr>
    <w:sdtEndPr/>
    <w:sdtContent>
      <w:p w14:paraId="0017A7CA" w14:textId="77777777" w:rsidR="00EB0F24" w:rsidRDefault="00EA1DF4">
        <w:pPr>
          <w:pStyle w:val="Footer"/>
          <w:jc w:val="center"/>
        </w:pPr>
        <w:r>
          <w:fldChar w:fldCharType="begin"/>
        </w:r>
        <w:r>
          <w:instrText>PAGE   \* MERGEFORMAT</w:instrText>
        </w:r>
        <w:r>
          <w:fldChar w:fldCharType="separate"/>
        </w:r>
        <w:r>
          <w:rPr>
            <w:noProof/>
          </w:rPr>
          <w:t>25</w:t>
        </w:r>
        <w:r>
          <w:rPr>
            <w:noProof/>
          </w:rPr>
          <w:fldChar w:fldCharType="end"/>
        </w:r>
      </w:p>
    </w:sdtContent>
  </w:sdt>
  <w:p w14:paraId="268C98C5" w14:textId="77777777" w:rsidR="00EB0F24" w:rsidRDefault="003F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7ABD" w14:textId="77777777" w:rsidR="000D27C6" w:rsidRDefault="009955C9">
      <w:pPr>
        <w:spacing w:after="0" w:line="240" w:lineRule="auto"/>
      </w:pPr>
      <w:r>
        <w:separator/>
      </w:r>
    </w:p>
  </w:footnote>
  <w:footnote w:type="continuationSeparator" w:id="0">
    <w:p w14:paraId="3C8BE45D" w14:textId="77777777" w:rsidR="000D27C6" w:rsidRDefault="00995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761AB"/>
    <w:multiLevelType w:val="hybridMultilevel"/>
    <w:tmpl w:val="43AC8EF0"/>
    <w:lvl w:ilvl="0" w:tplc="34762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F4"/>
    <w:rsid w:val="000D27C6"/>
    <w:rsid w:val="003F0130"/>
    <w:rsid w:val="004E5EB2"/>
    <w:rsid w:val="005A04AC"/>
    <w:rsid w:val="005F546B"/>
    <w:rsid w:val="00605613"/>
    <w:rsid w:val="009955C9"/>
    <w:rsid w:val="00C36F07"/>
    <w:rsid w:val="00CC0AB8"/>
    <w:rsid w:val="00E30256"/>
    <w:rsid w:val="00EA1DF4"/>
    <w:rsid w:val="00F326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3EAB"/>
  <w15:chartTrackingRefBased/>
  <w15:docId w15:val="{D695306A-2313-482D-A8F9-7970967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F4"/>
    <w:pPr>
      <w:spacing w:after="200" w:line="360" w:lineRule="auto"/>
      <w:ind w:left="720"/>
      <w:contextualSpacing/>
      <w:jc w:val="both"/>
    </w:pPr>
    <w:rPr>
      <w:rFonts w:ascii="Times New Roman" w:hAnsi="Times New Roman"/>
      <w:sz w:val="24"/>
      <w:lang w:val="de-DE"/>
    </w:rPr>
  </w:style>
  <w:style w:type="paragraph" w:styleId="Footer">
    <w:name w:val="footer"/>
    <w:basedOn w:val="Normal"/>
    <w:link w:val="FooterChar"/>
    <w:uiPriority w:val="99"/>
    <w:unhideWhenUsed/>
    <w:rsid w:val="00EA1DF4"/>
    <w:pPr>
      <w:tabs>
        <w:tab w:val="center" w:pos="4536"/>
        <w:tab w:val="right" w:pos="9072"/>
      </w:tabs>
      <w:spacing w:after="0" w:line="240" w:lineRule="auto"/>
      <w:jc w:val="both"/>
    </w:pPr>
    <w:rPr>
      <w:rFonts w:ascii="Times New Roman" w:hAnsi="Times New Roman"/>
      <w:sz w:val="24"/>
      <w:lang w:val="de-DE"/>
    </w:rPr>
  </w:style>
  <w:style w:type="character" w:customStyle="1" w:styleId="FooterChar">
    <w:name w:val="Footer Char"/>
    <w:basedOn w:val="DefaultParagraphFont"/>
    <w:link w:val="Footer"/>
    <w:uiPriority w:val="99"/>
    <w:rsid w:val="00EA1DF4"/>
    <w:rPr>
      <w:rFonts w:ascii="Times New Roman" w:hAnsi="Times New Roman"/>
      <w:sz w:val="24"/>
      <w:lang w:val="de-DE"/>
    </w:rPr>
  </w:style>
  <w:style w:type="paragraph" w:styleId="Caption">
    <w:name w:val="caption"/>
    <w:basedOn w:val="Normal"/>
    <w:next w:val="Normal"/>
    <w:autoRedefine/>
    <w:uiPriority w:val="35"/>
    <w:unhideWhenUsed/>
    <w:qFormat/>
    <w:rsid w:val="00EA1DF4"/>
    <w:pPr>
      <w:spacing w:after="200" w:line="360" w:lineRule="auto"/>
      <w:jc w:val="center"/>
    </w:pPr>
    <w:rPr>
      <w:rFonts w:ascii="Times New Roman" w:hAnsi="Times New Roman" w:cs="Times New Roman"/>
      <w:b/>
      <w:bCs/>
      <w:sz w:val="24"/>
      <w:szCs w:val="24"/>
      <w:lang w:val="en-US"/>
    </w:rPr>
  </w:style>
  <w:style w:type="table" w:styleId="TableGrid">
    <w:name w:val="Table Grid"/>
    <w:basedOn w:val="TableNormal"/>
    <w:uiPriority w:val="59"/>
    <w:rsid w:val="00EA1DF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2139/ssrn.325743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Gokalya</dc:creator>
  <cp:keywords/>
  <dc:description/>
  <cp:lastModifiedBy>chn off35</cp:lastModifiedBy>
  <cp:revision>9</cp:revision>
  <dcterms:created xsi:type="dcterms:W3CDTF">2021-01-05T05:24:00Z</dcterms:created>
  <dcterms:modified xsi:type="dcterms:W3CDTF">2021-01-15T10:38:00Z</dcterms:modified>
</cp:coreProperties>
</file>