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BEAB" w14:textId="77777777" w:rsidR="00B010E3" w:rsidRPr="0071500D" w:rsidRDefault="00B010E3" w:rsidP="00B010E3">
      <w:pPr>
        <w:pStyle w:val="Heading1"/>
      </w:pPr>
      <w:r w:rsidRPr="0071500D">
        <w:t>Attempt to include environmental variables</w:t>
      </w:r>
    </w:p>
    <w:p w14:paraId="3DF0A640" w14:textId="77777777" w:rsidR="00B010E3" w:rsidRPr="00F11682" w:rsidRDefault="00B010E3" w:rsidP="00B010E3">
      <w:pPr>
        <w:rPr>
          <w:szCs w:val="24"/>
          <w:lang w:eastAsia="es-ES"/>
        </w:rPr>
      </w:pPr>
      <w:r w:rsidRPr="00F11682">
        <w:rPr>
          <w:szCs w:val="24"/>
          <w:lang w:eastAsia="es-ES"/>
        </w:rPr>
        <w:t xml:space="preserve">Environmental variables were extracted from </w:t>
      </w:r>
      <w:r>
        <w:rPr>
          <w:szCs w:val="24"/>
          <w:lang w:eastAsia="es-ES"/>
        </w:rPr>
        <w:t xml:space="preserve">the </w:t>
      </w:r>
      <w:r w:rsidRPr="00F11682">
        <w:rPr>
          <w:szCs w:val="24"/>
          <w:lang w:eastAsia="es-ES"/>
        </w:rPr>
        <w:t xml:space="preserve">Geographical Information System (GIS)-based maps (see Table </w:t>
      </w:r>
      <w:r>
        <w:rPr>
          <w:szCs w:val="24"/>
          <w:lang w:eastAsia="es-ES"/>
        </w:rPr>
        <w:t>B</w:t>
      </w:r>
      <w:r w:rsidRPr="00F11682">
        <w:rPr>
          <w:szCs w:val="24"/>
          <w:lang w:eastAsia="es-ES"/>
        </w:rPr>
        <w:t>). We used 1:25000 scale available maps downloaded from https://idena.navarra.es/navegar. Although the climate is determinant for farming decision-making, it is not included since all plots are in a range of 20 km and we consider climate does not change much in this range.</w:t>
      </w:r>
    </w:p>
    <w:p w14:paraId="5426B01A" w14:textId="77777777" w:rsidR="00B010E3" w:rsidRPr="00F11682" w:rsidRDefault="00B010E3" w:rsidP="00B010E3">
      <w:pPr>
        <w:rPr>
          <w:szCs w:val="24"/>
          <w:lang w:eastAsia="es-ES"/>
        </w:rPr>
      </w:pPr>
    </w:p>
    <w:p w14:paraId="6B3EC0E4" w14:textId="2AD10B7B" w:rsidR="00B010E3" w:rsidRPr="00DF2B6D" w:rsidRDefault="00A04CD6" w:rsidP="00B010E3">
      <w:pPr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t xml:space="preserve">S2 </w:t>
      </w:r>
      <w:r w:rsidR="00B010E3" w:rsidRPr="00DF2B6D">
        <w:rPr>
          <w:rFonts w:eastAsiaTheme="majorEastAsia" w:cstheme="majorBidi"/>
          <w:b/>
          <w:sz w:val="28"/>
          <w:szCs w:val="32"/>
        </w:rPr>
        <w:t>Table. Environmental variables considered being included in the model</w:t>
      </w:r>
    </w:p>
    <w:p w14:paraId="617AD6CC" w14:textId="77777777" w:rsidR="00B010E3" w:rsidRPr="00F11682" w:rsidRDefault="00B010E3" w:rsidP="00B010E3">
      <w:pPr>
        <w:rPr>
          <w:szCs w:val="24"/>
          <w:lang w:eastAsia="es-ES"/>
        </w:rPr>
      </w:pPr>
    </w:p>
    <w:tbl>
      <w:tblPr>
        <w:tblW w:w="14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977"/>
        <w:gridCol w:w="4126"/>
        <w:gridCol w:w="3088"/>
        <w:gridCol w:w="2503"/>
      </w:tblGrid>
      <w:tr w:rsidR="00B010E3" w:rsidRPr="00F11682" w14:paraId="64194BFA" w14:textId="77777777" w:rsidTr="00D21B73">
        <w:trPr>
          <w:trHeight w:val="1540"/>
        </w:trPr>
        <w:tc>
          <w:tcPr>
            <w:tcW w:w="1413" w:type="dxa"/>
          </w:tcPr>
          <w:p w14:paraId="408F4692" w14:textId="77777777" w:rsidR="00B010E3" w:rsidRPr="00F11682" w:rsidRDefault="00B010E3" w:rsidP="00D21B73">
            <w:pPr>
              <w:spacing w:line="360" w:lineRule="auto"/>
              <w:rPr>
                <w:b/>
                <w:szCs w:val="24"/>
              </w:rPr>
            </w:pPr>
            <w:r w:rsidRPr="00F11682">
              <w:rPr>
                <w:b/>
                <w:szCs w:val="24"/>
              </w:rPr>
              <w:t xml:space="preserve">Drivers </w:t>
            </w:r>
          </w:p>
        </w:tc>
        <w:tc>
          <w:tcPr>
            <w:tcW w:w="2977" w:type="dxa"/>
          </w:tcPr>
          <w:p w14:paraId="53932F8C" w14:textId="77777777" w:rsidR="00B010E3" w:rsidRPr="00F11682" w:rsidRDefault="00B010E3" w:rsidP="00D21B73">
            <w:pPr>
              <w:spacing w:line="360" w:lineRule="auto"/>
              <w:rPr>
                <w:b/>
                <w:szCs w:val="24"/>
              </w:rPr>
            </w:pPr>
            <w:r w:rsidRPr="00F11682">
              <w:rPr>
                <w:b/>
                <w:szCs w:val="24"/>
              </w:rPr>
              <w:t>Definition</w:t>
            </w:r>
          </w:p>
        </w:tc>
        <w:tc>
          <w:tcPr>
            <w:tcW w:w="4126" w:type="dxa"/>
          </w:tcPr>
          <w:p w14:paraId="5093E5E6" w14:textId="77777777" w:rsidR="00B010E3" w:rsidRPr="00F11682" w:rsidRDefault="00B010E3" w:rsidP="00D21B73">
            <w:pPr>
              <w:spacing w:line="360" w:lineRule="auto"/>
              <w:rPr>
                <w:b/>
                <w:szCs w:val="24"/>
              </w:rPr>
            </w:pPr>
            <w:r w:rsidRPr="00F11682">
              <w:rPr>
                <w:b/>
                <w:szCs w:val="24"/>
              </w:rPr>
              <w:t>Select examples</w:t>
            </w:r>
          </w:p>
        </w:tc>
        <w:tc>
          <w:tcPr>
            <w:tcW w:w="3088" w:type="dxa"/>
          </w:tcPr>
          <w:p w14:paraId="54E792CD" w14:textId="77777777" w:rsidR="00B010E3" w:rsidRPr="00F11682" w:rsidRDefault="00B010E3" w:rsidP="00D21B73">
            <w:pPr>
              <w:spacing w:line="360" w:lineRule="auto"/>
              <w:rPr>
                <w:b/>
                <w:szCs w:val="24"/>
              </w:rPr>
            </w:pPr>
            <w:r w:rsidRPr="00F11682">
              <w:rPr>
                <w:b/>
                <w:szCs w:val="24"/>
              </w:rPr>
              <w:t>Evidence in rural communities</w:t>
            </w:r>
          </w:p>
        </w:tc>
        <w:tc>
          <w:tcPr>
            <w:tcW w:w="2503" w:type="dxa"/>
          </w:tcPr>
          <w:p w14:paraId="52F7B20A" w14:textId="77777777" w:rsidR="00B010E3" w:rsidRPr="00F11682" w:rsidRDefault="00B010E3" w:rsidP="00D21B73">
            <w:pPr>
              <w:spacing w:line="360" w:lineRule="auto"/>
              <w:rPr>
                <w:b/>
                <w:szCs w:val="24"/>
              </w:rPr>
            </w:pPr>
            <w:r w:rsidRPr="00F11682">
              <w:rPr>
                <w:b/>
                <w:szCs w:val="24"/>
              </w:rPr>
              <w:t>Contextually relevant</w:t>
            </w:r>
          </w:p>
          <w:p w14:paraId="0376153C" w14:textId="77777777" w:rsidR="00B010E3" w:rsidRPr="00F11682" w:rsidRDefault="00B010E3" w:rsidP="00D21B73">
            <w:pPr>
              <w:spacing w:line="360" w:lineRule="auto"/>
              <w:rPr>
                <w:b/>
                <w:szCs w:val="24"/>
              </w:rPr>
            </w:pPr>
            <w:r w:rsidRPr="00F11682">
              <w:rPr>
                <w:b/>
                <w:szCs w:val="24"/>
              </w:rPr>
              <w:t>drivers</w:t>
            </w:r>
          </w:p>
        </w:tc>
      </w:tr>
      <w:tr w:rsidR="00B010E3" w:rsidRPr="00F11682" w14:paraId="64AFEA5B" w14:textId="77777777" w:rsidTr="00D21B73">
        <w:trPr>
          <w:trHeight w:val="1540"/>
        </w:trPr>
        <w:tc>
          <w:tcPr>
            <w:tcW w:w="1413" w:type="dxa"/>
          </w:tcPr>
          <w:p w14:paraId="3984A3F7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Exogenous contextual factors</w:t>
            </w:r>
          </w:p>
        </w:tc>
        <w:tc>
          <w:tcPr>
            <w:tcW w:w="2977" w:type="dxa"/>
          </w:tcPr>
          <w:p w14:paraId="30931505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Cultural, social, geographic, and/or ecological environments of individual actors drive the establishment and maintenance of social ties</w:t>
            </w:r>
          </w:p>
        </w:tc>
        <w:tc>
          <w:tcPr>
            <w:tcW w:w="4126" w:type="dxa"/>
          </w:tcPr>
          <w:p w14:paraId="159A35F0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Geography and space brings and holds people together (Rivera et al. 2010; Lusher et al. 2012)</w:t>
            </w:r>
          </w:p>
        </w:tc>
        <w:tc>
          <w:tcPr>
            <w:tcW w:w="3088" w:type="dxa"/>
          </w:tcPr>
          <w:p w14:paraId="5813F8D9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Fishing grounds (e.g. Maya-</w:t>
            </w:r>
            <w:proofErr w:type="spellStart"/>
            <w:r w:rsidRPr="00F11682">
              <w:rPr>
                <w:szCs w:val="24"/>
              </w:rPr>
              <w:t>Jariego</w:t>
            </w:r>
            <w:proofErr w:type="spellEnd"/>
            <w:r w:rsidRPr="00F11682">
              <w:rPr>
                <w:szCs w:val="24"/>
              </w:rPr>
              <w:t xml:space="preserve"> et al. 2016)*</w:t>
            </w:r>
          </w:p>
          <w:p w14:paraId="113E93AC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Landing sites (no empirical work to date)</w:t>
            </w:r>
          </w:p>
        </w:tc>
        <w:tc>
          <w:tcPr>
            <w:tcW w:w="2503" w:type="dxa"/>
          </w:tcPr>
          <w:p w14:paraId="28B3E41C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Geographic Proximity</w:t>
            </w:r>
          </w:p>
          <w:p w14:paraId="1842C99C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Lithology</w:t>
            </w:r>
          </w:p>
          <w:p w14:paraId="553D2B6E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Habitat conservation</w:t>
            </w:r>
          </w:p>
          <w:p w14:paraId="26B7F8EC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Fire affection</w:t>
            </w:r>
          </w:p>
          <w:p w14:paraId="7AD54707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Potential vegetation</w:t>
            </w:r>
          </w:p>
          <w:p w14:paraId="6312DAD1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Hunting area</w:t>
            </w:r>
          </w:p>
          <w:p w14:paraId="656166C1" w14:textId="77777777" w:rsidR="00B010E3" w:rsidRPr="00F11682" w:rsidRDefault="00B010E3" w:rsidP="00D21B73">
            <w:pPr>
              <w:spacing w:line="360" w:lineRule="auto"/>
              <w:rPr>
                <w:szCs w:val="24"/>
              </w:rPr>
            </w:pPr>
            <w:r w:rsidRPr="00F11682">
              <w:rPr>
                <w:szCs w:val="24"/>
              </w:rPr>
              <w:t>Aquifers pollution risks</w:t>
            </w:r>
          </w:p>
        </w:tc>
      </w:tr>
    </w:tbl>
    <w:p w14:paraId="4BBE82A5" w14:textId="77777777" w:rsidR="00B010E3" w:rsidRPr="00F11682" w:rsidRDefault="00B010E3" w:rsidP="00B010E3">
      <w:pPr>
        <w:rPr>
          <w:szCs w:val="24"/>
          <w:lang w:eastAsia="es-ES"/>
        </w:rPr>
      </w:pPr>
    </w:p>
    <w:p w14:paraId="66A6C8C2" w14:textId="77777777" w:rsidR="00B010E3" w:rsidRPr="00F11682" w:rsidRDefault="00B010E3" w:rsidP="00B010E3">
      <w:pPr>
        <w:rPr>
          <w:szCs w:val="24"/>
          <w:lang w:eastAsia="es-ES"/>
        </w:rPr>
      </w:pPr>
    </w:p>
    <w:p w14:paraId="2770ABFF" w14:textId="77777777" w:rsidR="00D0348C" w:rsidRDefault="00B010E3" w:rsidP="00B010E3">
      <w:r w:rsidRPr="00F11682">
        <w:rPr>
          <w:szCs w:val="24"/>
          <w:lang w:eastAsia="es-ES"/>
        </w:rPr>
        <w:t>We did not finally add those variables because we only have data for around half of the participants (N=48). This occurred because</w:t>
      </w:r>
      <w:r>
        <w:rPr>
          <w:szCs w:val="24"/>
          <w:lang w:eastAsia="es-ES"/>
        </w:rPr>
        <w:t>,</w:t>
      </w:r>
      <w:r w:rsidRPr="00F11682">
        <w:rPr>
          <w:szCs w:val="24"/>
          <w:lang w:eastAsia="es-ES"/>
        </w:rPr>
        <w:t xml:space="preserve"> during the fieldwork, many farmers denied to point where their plots were </w:t>
      </w:r>
      <w:r>
        <w:rPr>
          <w:szCs w:val="24"/>
          <w:lang w:eastAsia="es-ES"/>
        </w:rPr>
        <w:t>o</w:t>
      </w:r>
      <w:r w:rsidRPr="00F11682">
        <w:rPr>
          <w:szCs w:val="24"/>
          <w:lang w:eastAsia="es-ES"/>
        </w:rPr>
        <w:t xml:space="preserve">n a map. Some preferred not to reveal it and others just couldn’t find their plots </w:t>
      </w:r>
      <w:r>
        <w:rPr>
          <w:szCs w:val="24"/>
          <w:lang w:eastAsia="es-ES"/>
        </w:rPr>
        <w:t>i</w:t>
      </w:r>
      <w:r w:rsidRPr="00F11682">
        <w:rPr>
          <w:szCs w:val="24"/>
          <w:lang w:eastAsia="es-ES"/>
        </w:rPr>
        <w:t>n this way. This high degree of missing data provides noise to the models. Besides, one person normally had more than one plot, which provided us a big range of data</w:t>
      </w:r>
      <w:r>
        <w:rPr>
          <w:szCs w:val="24"/>
          <w:lang w:eastAsia="es-ES"/>
        </w:rPr>
        <w:t>.</w:t>
      </w:r>
    </w:p>
    <w:sectPr w:rsidR="00D0348C" w:rsidSect="00B01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E3"/>
    <w:rsid w:val="00A04CD6"/>
    <w:rsid w:val="00B010E3"/>
    <w:rsid w:val="00C33464"/>
    <w:rsid w:val="00D77214"/>
    <w:rsid w:val="00D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82EC"/>
  <w15:chartTrackingRefBased/>
  <w15:docId w15:val="{24EA2B45-9A51-4348-B896-EF41C163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0E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0E3"/>
    <w:rPr>
      <w:rFonts w:ascii="Times New Roman" w:eastAsiaTheme="majorEastAsia" w:hAnsi="Times New Roman" w:cstheme="majorBidi"/>
      <w:b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</dc:creator>
  <cp:keywords/>
  <dc:description/>
  <cp:lastModifiedBy>chn off27</cp:lastModifiedBy>
  <cp:revision>3</cp:revision>
  <dcterms:created xsi:type="dcterms:W3CDTF">2020-09-24T07:31:00Z</dcterms:created>
  <dcterms:modified xsi:type="dcterms:W3CDTF">2020-12-30T16:31:00Z</dcterms:modified>
</cp:coreProperties>
</file>