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743" w:type="dxa"/>
        <w:tblInd w:w="-142" w:type="dxa"/>
        <w:tblLayout w:type="fixed"/>
        <w:tblLook w:val="04A0" w:firstRow="1" w:lastRow="0" w:firstColumn="1" w:lastColumn="0" w:noHBand="0" w:noVBand="1"/>
      </w:tblPr>
      <w:tblGrid>
        <w:gridCol w:w="1241"/>
        <w:gridCol w:w="1736"/>
        <w:gridCol w:w="1009"/>
        <w:gridCol w:w="855"/>
        <w:gridCol w:w="1397"/>
        <w:gridCol w:w="1079"/>
        <w:gridCol w:w="1238"/>
        <w:gridCol w:w="1238"/>
        <w:gridCol w:w="1238"/>
        <w:gridCol w:w="1018"/>
        <w:gridCol w:w="1276"/>
        <w:gridCol w:w="1418"/>
      </w:tblGrid>
      <w:tr w:rsidR="009B19E0" w:rsidRPr="00184119" w14:paraId="5CBCBA3C" w14:textId="77777777" w:rsidTr="009B19E0">
        <w:trPr>
          <w:trHeight w:val="508"/>
        </w:trPr>
        <w:tc>
          <w:tcPr>
            <w:tcW w:w="9793" w:type="dxa"/>
            <w:gridSpan w:val="8"/>
            <w:tcBorders>
              <w:bottom w:val="single" w:sz="4" w:space="0" w:color="auto"/>
            </w:tcBorders>
          </w:tcPr>
          <w:p w14:paraId="5B34D290" w14:textId="77777777" w:rsidR="009B19E0" w:rsidRPr="00184119" w:rsidRDefault="009B19E0" w:rsidP="00E2633F">
            <w:pPr>
              <w:spacing w:after="200" w:line="276" w:lineRule="auto"/>
              <w:rPr>
                <w:rFonts w:eastAsia="Calibri"/>
                <w:b/>
                <w:bCs/>
                <w:color w:val="000000"/>
                <w:sz w:val="20"/>
                <w:szCs w:val="20"/>
                <w:u w:val="single"/>
                <w:lang w:val="en-US"/>
              </w:rPr>
            </w:pPr>
            <w:bookmarkStart w:id="0" w:name="_GoBack"/>
            <w:bookmarkEnd w:id="0"/>
            <w:r w:rsidRPr="00184119">
              <w:rPr>
                <w:rFonts w:eastAsia="Calibri"/>
                <w:b/>
                <w:sz w:val="20"/>
                <w:szCs w:val="20"/>
                <w:u w:val="single"/>
                <w:lang w:val="en-US"/>
              </w:rPr>
              <w:t xml:space="preserve">S12 Text: </w:t>
            </w:r>
            <w:r>
              <w:rPr>
                <w:rFonts w:eastAsia="Calibri"/>
                <w:b/>
                <w:sz w:val="20"/>
                <w:szCs w:val="20"/>
                <w:u w:val="single"/>
                <w:lang w:val="en-US"/>
              </w:rPr>
              <w:t>Overview of Findings by Study</w:t>
            </w:r>
            <w:r w:rsidRPr="00184119">
              <w:rPr>
                <w:rFonts w:eastAsia="Calibri"/>
                <w:b/>
                <w:sz w:val="20"/>
                <w:szCs w:val="20"/>
                <w:u w:val="single"/>
                <w:lang w:val="en-US"/>
              </w:rPr>
              <w:t>,</w:t>
            </w:r>
            <w:r w:rsidRPr="00184119">
              <w:rPr>
                <w:rFonts w:eastAsia="Calibri"/>
                <w:b/>
                <w:bCs/>
                <w:color w:val="000000"/>
                <w:sz w:val="20"/>
                <w:szCs w:val="20"/>
                <w:u w:val="single"/>
                <w:lang w:val="en-US"/>
              </w:rPr>
              <w:t xml:space="preserve"> </w:t>
            </w:r>
            <w:r w:rsidRPr="00184119">
              <w:rPr>
                <w:rFonts w:eastAsia="Calibri"/>
                <w:b/>
                <w:i/>
                <w:color w:val="000000"/>
                <w:sz w:val="20"/>
                <w:szCs w:val="20"/>
                <w:u w:val="single"/>
                <w:lang w:val="en-US"/>
              </w:rPr>
              <w:t>Self-Reported Illicit Drug Use</w:t>
            </w:r>
            <w:r w:rsidRPr="00184119">
              <w:rPr>
                <w:rFonts w:eastAsia="Calibri"/>
                <w:b/>
                <w:bCs/>
                <w:color w:val="000000"/>
                <w:sz w:val="20"/>
                <w:szCs w:val="20"/>
                <w:u w:val="single"/>
                <w:lang w:val="en-US"/>
              </w:rPr>
              <w:t xml:space="preserve"> </w:t>
            </w:r>
          </w:p>
        </w:tc>
        <w:tc>
          <w:tcPr>
            <w:tcW w:w="1238" w:type="dxa"/>
            <w:tcBorders>
              <w:bottom w:val="single" w:sz="4" w:space="0" w:color="auto"/>
            </w:tcBorders>
          </w:tcPr>
          <w:p w14:paraId="147ECEA2" w14:textId="77777777" w:rsidR="009B19E0" w:rsidRPr="00184119" w:rsidRDefault="009B19E0" w:rsidP="00E2633F">
            <w:pPr>
              <w:spacing w:after="200" w:line="276" w:lineRule="auto"/>
              <w:rPr>
                <w:rFonts w:eastAsia="Calibri"/>
                <w:b/>
                <w:bCs/>
                <w:color w:val="000000"/>
                <w:sz w:val="20"/>
                <w:szCs w:val="20"/>
                <w:lang w:val="en-US"/>
              </w:rPr>
            </w:pPr>
          </w:p>
        </w:tc>
        <w:tc>
          <w:tcPr>
            <w:tcW w:w="1018" w:type="dxa"/>
            <w:tcBorders>
              <w:bottom w:val="single" w:sz="4" w:space="0" w:color="auto"/>
            </w:tcBorders>
          </w:tcPr>
          <w:p w14:paraId="5FC9DB0A" w14:textId="77777777" w:rsidR="009B19E0" w:rsidRPr="00184119" w:rsidRDefault="009B19E0" w:rsidP="00E2633F">
            <w:pPr>
              <w:spacing w:after="200" w:line="276" w:lineRule="auto"/>
              <w:rPr>
                <w:rFonts w:eastAsia="Calibri"/>
                <w:b/>
                <w:bCs/>
                <w:color w:val="000000"/>
                <w:sz w:val="20"/>
                <w:szCs w:val="20"/>
                <w:lang w:val="en-US"/>
              </w:rPr>
            </w:pPr>
          </w:p>
        </w:tc>
        <w:tc>
          <w:tcPr>
            <w:tcW w:w="1276" w:type="dxa"/>
            <w:tcBorders>
              <w:bottom w:val="single" w:sz="4" w:space="0" w:color="auto"/>
            </w:tcBorders>
          </w:tcPr>
          <w:p w14:paraId="5DE505B1" w14:textId="77777777" w:rsidR="009B19E0" w:rsidRPr="00184119" w:rsidRDefault="009B19E0" w:rsidP="00E2633F">
            <w:pPr>
              <w:spacing w:after="200" w:line="276" w:lineRule="auto"/>
              <w:rPr>
                <w:rFonts w:eastAsia="Calibri"/>
                <w:b/>
                <w:bCs/>
                <w:color w:val="000000"/>
                <w:sz w:val="20"/>
                <w:szCs w:val="20"/>
                <w:lang w:val="en-US"/>
              </w:rPr>
            </w:pPr>
          </w:p>
        </w:tc>
        <w:tc>
          <w:tcPr>
            <w:tcW w:w="1418" w:type="dxa"/>
            <w:tcBorders>
              <w:bottom w:val="single" w:sz="4" w:space="0" w:color="auto"/>
            </w:tcBorders>
          </w:tcPr>
          <w:p w14:paraId="36184931" w14:textId="77777777" w:rsidR="009B19E0" w:rsidRPr="00184119" w:rsidRDefault="009B19E0" w:rsidP="00E2633F">
            <w:pPr>
              <w:spacing w:after="200" w:line="276" w:lineRule="auto"/>
              <w:rPr>
                <w:rFonts w:eastAsia="Calibri"/>
                <w:b/>
                <w:bCs/>
                <w:color w:val="000000"/>
                <w:sz w:val="20"/>
                <w:szCs w:val="20"/>
                <w:lang w:val="en-US"/>
              </w:rPr>
            </w:pPr>
          </w:p>
        </w:tc>
      </w:tr>
      <w:tr w:rsidR="009B19E0" w:rsidRPr="00184119" w14:paraId="27CF10CC" w14:textId="77777777" w:rsidTr="009B19E0">
        <w:trPr>
          <w:trHeight w:val="963"/>
        </w:trPr>
        <w:tc>
          <w:tcPr>
            <w:tcW w:w="1241" w:type="dxa"/>
            <w:tcBorders>
              <w:top w:val="single" w:sz="4" w:space="0" w:color="auto"/>
              <w:bottom w:val="single" w:sz="4" w:space="0" w:color="auto"/>
            </w:tcBorders>
          </w:tcPr>
          <w:p w14:paraId="4F417D0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Author, Year</w:t>
            </w:r>
          </w:p>
        </w:tc>
        <w:tc>
          <w:tcPr>
            <w:tcW w:w="1736" w:type="dxa"/>
            <w:tcBorders>
              <w:top w:val="single" w:sz="4" w:space="0" w:color="auto"/>
              <w:bottom w:val="single" w:sz="4" w:space="0" w:color="auto"/>
            </w:tcBorders>
          </w:tcPr>
          <w:p w14:paraId="1E66E26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Outcome Description</w:t>
            </w:r>
          </w:p>
        </w:tc>
        <w:tc>
          <w:tcPr>
            <w:tcW w:w="1009" w:type="dxa"/>
            <w:tcBorders>
              <w:top w:val="single" w:sz="4" w:space="0" w:color="auto"/>
              <w:bottom w:val="single" w:sz="4" w:space="0" w:color="auto"/>
            </w:tcBorders>
          </w:tcPr>
          <w:p w14:paraId="6C07F68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 xml:space="preserve">Control Group: </w:t>
            </w:r>
            <w:r w:rsidRPr="00184119">
              <w:rPr>
                <w:rFonts w:eastAsia="Calibri"/>
                <w:color w:val="000000"/>
                <w:sz w:val="20"/>
                <w:szCs w:val="20"/>
                <w:lang w:val="en-US"/>
              </w:rPr>
              <w:t>N</w:t>
            </w:r>
          </w:p>
        </w:tc>
        <w:tc>
          <w:tcPr>
            <w:tcW w:w="855" w:type="dxa"/>
            <w:tcBorders>
              <w:top w:val="single" w:sz="4" w:space="0" w:color="auto"/>
              <w:bottom w:val="single" w:sz="4" w:space="0" w:color="auto"/>
            </w:tcBorders>
          </w:tcPr>
          <w:p w14:paraId="0889C84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 xml:space="preserve">Control Group: </w:t>
            </w:r>
            <w:r w:rsidRPr="00184119">
              <w:rPr>
                <w:rFonts w:eastAsia="Calibri"/>
                <w:color w:val="000000"/>
                <w:sz w:val="20"/>
                <w:szCs w:val="20"/>
                <w:lang w:val="en-US"/>
              </w:rPr>
              <w:t>Mean (SD)</w:t>
            </w:r>
          </w:p>
        </w:tc>
        <w:tc>
          <w:tcPr>
            <w:tcW w:w="1397" w:type="dxa"/>
            <w:tcBorders>
              <w:top w:val="single" w:sz="4" w:space="0" w:color="auto"/>
              <w:bottom w:val="single" w:sz="4" w:space="0" w:color="auto"/>
            </w:tcBorders>
          </w:tcPr>
          <w:p w14:paraId="28D6066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 xml:space="preserve">Intervention Group 1: </w:t>
            </w:r>
            <w:r w:rsidRPr="00184119">
              <w:rPr>
                <w:rFonts w:eastAsia="Calibri"/>
                <w:color w:val="000000"/>
                <w:sz w:val="20"/>
                <w:szCs w:val="20"/>
                <w:lang w:val="en-US"/>
              </w:rPr>
              <w:t>N</w:t>
            </w:r>
          </w:p>
        </w:tc>
        <w:tc>
          <w:tcPr>
            <w:tcW w:w="1079" w:type="dxa"/>
            <w:tcBorders>
              <w:top w:val="single" w:sz="4" w:space="0" w:color="auto"/>
              <w:bottom w:val="single" w:sz="4" w:space="0" w:color="auto"/>
            </w:tcBorders>
          </w:tcPr>
          <w:p w14:paraId="35C1058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 xml:space="preserve">Intervention Group 1: </w:t>
            </w:r>
            <w:r w:rsidRPr="00184119">
              <w:rPr>
                <w:rFonts w:eastAsia="Calibri"/>
                <w:color w:val="000000"/>
                <w:sz w:val="20"/>
                <w:szCs w:val="20"/>
                <w:lang w:val="en-US"/>
              </w:rPr>
              <w:t>Mean (SD)</w:t>
            </w:r>
          </w:p>
        </w:tc>
        <w:tc>
          <w:tcPr>
            <w:tcW w:w="1238" w:type="dxa"/>
            <w:tcBorders>
              <w:top w:val="single" w:sz="4" w:space="0" w:color="auto"/>
              <w:bottom w:val="single" w:sz="4" w:space="0" w:color="auto"/>
            </w:tcBorders>
          </w:tcPr>
          <w:p w14:paraId="48FE9B0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 xml:space="preserve">Intervention Group 2: </w:t>
            </w:r>
            <w:r w:rsidRPr="00184119">
              <w:rPr>
                <w:rFonts w:eastAsia="Calibri"/>
                <w:color w:val="000000"/>
                <w:sz w:val="20"/>
                <w:szCs w:val="20"/>
                <w:lang w:val="en-US"/>
              </w:rPr>
              <w:t>N</w:t>
            </w:r>
          </w:p>
        </w:tc>
        <w:tc>
          <w:tcPr>
            <w:tcW w:w="1238" w:type="dxa"/>
            <w:tcBorders>
              <w:top w:val="single" w:sz="4" w:space="0" w:color="auto"/>
              <w:bottom w:val="single" w:sz="4" w:space="0" w:color="auto"/>
            </w:tcBorders>
          </w:tcPr>
          <w:p w14:paraId="6A8F681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 xml:space="preserve">Intervention Group 2: </w:t>
            </w:r>
            <w:r w:rsidRPr="00184119">
              <w:rPr>
                <w:rFonts w:eastAsia="Calibri"/>
                <w:color w:val="000000"/>
                <w:sz w:val="20"/>
                <w:szCs w:val="20"/>
                <w:lang w:val="en-US"/>
              </w:rPr>
              <w:t>Mean (SD)</w:t>
            </w:r>
          </w:p>
        </w:tc>
        <w:tc>
          <w:tcPr>
            <w:tcW w:w="1238" w:type="dxa"/>
            <w:tcBorders>
              <w:top w:val="single" w:sz="4" w:space="0" w:color="auto"/>
              <w:bottom w:val="single" w:sz="4" w:space="0" w:color="auto"/>
            </w:tcBorders>
          </w:tcPr>
          <w:p w14:paraId="1A9810F2" w14:textId="77777777" w:rsidR="009B19E0" w:rsidRPr="00184119" w:rsidRDefault="009B19E0"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3: </w:t>
            </w:r>
            <w:r w:rsidRPr="00184119">
              <w:rPr>
                <w:rFonts w:eastAsia="Calibri"/>
                <w:bCs/>
                <w:color w:val="000000"/>
                <w:sz w:val="20"/>
                <w:szCs w:val="20"/>
                <w:lang w:val="en-US"/>
              </w:rPr>
              <w:t>N</w:t>
            </w:r>
          </w:p>
        </w:tc>
        <w:tc>
          <w:tcPr>
            <w:tcW w:w="1018" w:type="dxa"/>
            <w:tcBorders>
              <w:top w:val="single" w:sz="4" w:space="0" w:color="auto"/>
              <w:bottom w:val="single" w:sz="4" w:space="0" w:color="auto"/>
            </w:tcBorders>
          </w:tcPr>
          <w:p w14:paraId="56CED34D" w14:textId="77777777" w:rsidR="009B19E0" w:rsidRPr="00184119" w:rsidRDefault="009B19E0" w:rsidP="00E2633F">
            <w:pPr>
              <w:spacing w:after="200" w:line="276" w:lineRule="auto"/>
              <w:rPr>
                <w:rFonts w:eastAsia="Calibri"/>
                <w:b/>
                <w:bCs/>
                <w:color w:val="000000"/>
                <w:sz w:val="20"/>
                <w:szCs w:val="20"/>
                <w:lang w:val="en-US"/>
              </w:rPr>
            </w:pPr>
            <w:r w:rsidRPr="00184119">
              <w:rPr>
                <w:rFonts w:eastAsia="Calibri"/>
                <w:b/>
                <w:bCs/>
                <w:color w:val="000000"/>
                <w:sz w:val="20"/>
                <w:szCs w:val="20"/>
                <w:lang w:val="en-US"/>
              </w:rPr>
              <w:t xml:space="preserve">Intervention Group 3: </w:t>
            </w:r>
            <w:r w:rsidRPr="00184119">
              <w:rPr>
                <w:rFonts w:eastAsia="Calibri"/>
                <w:bCs/>
                <w:color w:val="000000"/>
                <w:sz w:val="20"/>
                <w:szCs w:val="20"/>
                <w:lang w:val="en-US"/>
              </w:rPr>
              <w:t>Mean (SD)</w:t>
            </w:r>
          </w:p>
        </w:tc>
        <w:tc>
          <w:tcPr>
            <w:tcW w:w="1276" w:type="dxa"/>
            <w:tcBorders>
              <w:top w:val="single" w:sz="4" w:space="0" w:color="auto"/>
              <w:bottom w:val="single" w:sz="4" w:space="0" w:color="auto"/>
            </w:tcBorders>
          </w:tcPr>
          <w:p w14:paraId="578D247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b/>
                <w:bCs/>
                <w:color w:val="000000"/>
                <w:sz w:val="20"/>
                <w:szCs w:val="20"/>
                <w:lang w:val="en-US"/>
              </w:rPr>
              <w:t>Author Reported Conclusions</w:t>
            </w:r>
          </w:p>
        </w:tc>
        <w:tc>
          <w:tcPr>
            <w:tcW w:w="1418" w:type="dxa"/>
            <w:tcBorders>
              <w:top w:val="single" w:sz="4" w:space="0" w:color="auto"/>
              <w:bottom w:val="single" w:sz="4" w:space="0" w:color="auto"/>
            </w:tcBorders>
          </w:tcPr>
          <w:p w14:paraId="5CBBB301" w14:textId="77777777" w:rsidR="009B19E0" w:rsidRPr="00184119" w:rsidRDefault="009B19E0" w:rsidP="009B19E0">
            <w:pPr>
              <w:spacing w:after="200" w:line="276" w:lineRule="auto"/>
              <w:ind w:right="182"/>
              <w:rPr>
                <w:rFonts w:eastAsia="Calibri"/>
                <w:color w:val="000000"/>
                <w:sz w:val="20"/>
                <w:szCs w:val="20"/>
                <w:lang w:val="en-US"/>
              </w:rPr>
            </w:pPr>
            <w:r w:rsidRPr="00184119">
              <w:rPr>
                <w:rFonts w:eastAsia="Calibri"/>
                <w:b/>
                <w:bCs/>
                <w:color w:val="000000"/>
                <w:sz w:val="20"/>
                <w:szCs w:val="20"/>
                <w:lang w:val="en-US"/>
              </w:rPr>
              <w:t>Final Timepoint (Weeks)</w:t>
            </w:r>
          </w:p>
        </w:tc>
      </w:tr>
      <w:tr w:rsidR="009B19E0" w:rsidRPr="00184119" w14:paraId="20D91240" w14:textId="77777777" w:rsidTr="009B19E0">
        <w:tc>
          <w:tcPr>
            <w:tcW w:w="7317" w:type="dxa"/>
            <w:gridSpan w:val="6"/>
            <w:tcBorders>
              <w:top w:val="single" w:sz="4" w:space="0" w:color="auto"/>
            </w:tcBorders>
            <w:shd w:val="clear" w:color="auto" w:fill="EEECE1"/>
          </w:tcPr>
          <w:p w14:paraId="4DC4170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i/>
                <w:iCs/>
                <w:color w:val="000000"/>
                <w:sz w:val="20"/>
                <w:szCs w:val="20"/>
                <w:u w:val="single"/>
                <w:lang w:val="en-US"/>
              </w:rPr>
              <w:t>Addiction Severity Index</w:t>
            </w:r>
          </w:p>
        </w:tc>
        <w:tc>
          <w:tcPr>
            <w:tcW w:w="1238" w:type="dxa"/>
            <w:tcBorders>
              <w:top w:val="single" w:sz="4" w:space="0" w:color="auto"/>
            </w:tcBorders>
            <w:shd w:val="clear" w:color="auto" w:fill="EEECE1"/>
          </w:tcPr>
          <w:p w14:paraId="76B38AB4" w14:textId="77777777" w:rsidR="009B19E0" w:rsidRPr="00184119" w:rsidRDefault="009B19E0" w:rsidP="00E2633F">
            <w:pPr>
              <w:spacing w:after="200" w:line="276" w:lineRule="auto"/>
              <w:rPr>
                <w:rFonts w:eastAsia="Calibri"/>
                <w:color w:val="000000"/>
                <w:sz w:val="20"/>
                <w:szCs w:val="20"/>
                <w:lang w:val="en-US"/>
              </w:rPr>
            </w:pPr>
          </w:p>
        </w:tc>
        <w:tc>
          <w:tcPr>
            <w:tcW w:w="1238" w:type="dxa"/>
            <w:tcBorders>
              <w:top w:val="single" w:sz="4" w:space="0" w:color="auto"/>
            </w:tcBorders>
            <w:shd w:val="clear" w:color="auto" w:fill="EEECE1"/>
          </w:tcPr>
          <w:p w14:paraId="60DD1991" w14:textId="77777777" w:rsidR="009B19E0" w:rsidRPr="00184119" w:rsidRDefault="009B19E0" w:rsidP="00E2633F">
            <w:pPr>
              <w:spacing w:after="200" w:line="276" w:lineRule="auto"/>
              <w:rPr>
                <w:rFonts w:eastAsia="Calibri"/>
                <w:color w:val="000000"/>
                <w:sz w:val="20"/>
                <w:szCs w:val="20"/>
                <w:lang w:val="en-US"/>
              </w:rPr>
            </w:pPr>
          </w:p>
        </w:tc>
        <w:tc>
          <w:tcPr>
            <w:tcW w:w="1238" w:type="dxa"/>
            <w:tcBorders>
              <w:top w:val="single" w:sz="4" w:space="0" w:color="auto"/>
            </w:tcBorders>
            <w:shd w:val="clear" w:color="auto" w:fill="EEECE1"/>
          </w:tcPr>
          <w:p w14:paraId="1D2ACB63" w14:textId="77777777" w:rsidR="009B19E0" w:rsidRPr="00184119" w:rsidRDefault="009B19E0" w:rsidP="00E2633F">
            <w:pPr>
              <w:spacing w:after="200" w:line="276" w:lineRule="auto"/>
              <w:rPr>
                <w:rFonts w:eastAsia="Calibri"/>
                <w:color w:val="000000"/>
                <w:sz w:val="20"/>
                <w:szCs w:val="20"/>
                <w:lang w:val="en-US"/>
              </w:rPr>
            </w:pPr>
          </w:p>
        </w:tc>
        <w:tc>
          <w:tcPr>
            <w:tcW w:w="1018" w:type="dxa"/>
            <w:tcBorders>
              <w:top w:val="single" w:sz="4" w:space="0" w:color="auto"/>
            </w:tcBorders>
            <w:shd w:val="clear" w:color="auto" w:fill="EEECE1"/>
          </w:tcPr>
          <w:p w14:paraId="0DC9442C" w14:textId="77777777" w:rsidR="009B19E0" w:rsidRPr="00184119" w:rsidRDefault="009B19E0" w:rsidP="00E2633F">
            <w:pPr>
              <w:spacing w:after="200" w:line="276" w:lineRule="auto"/>
              <w:rPr>
                <w:rFonts w:eastAsia="Calibri"/>
                <w:color w:val="000000"/>
                <w:sz w:val="20"/>
                <w:szCs w:val="20"/>
                <w:lang w:val="en-US"/>
              </w:rPr>
            </w:pPr>
          </w:p>
        </w:tc>
        <w:tc>
          <w:tcPr>
            <w:tcW w:w="1276" w:type="dxa"/>
            <w:tcBorders>
              <w:top w:val="single" w:sz="4" w:space="0" w:color="auto"/>
            </w:tcBorders>
            <w:shd w:val="clear" w:color="auto" w:fill="EEECE1"/>
          </w:tcPr>
          <w:p w14:paraId="7D491017" w14:textId="77777777" w:rsidR="009B19E0" w:rsidRPr="00184119" w:rsidRDefault="009B19E0" w:rsidP="00E2633F">
            <w:pPr>
              <w:spacing w:after="200" w:line="276" w:lineRule="auto"/>
              <w:rPr>
                <w:rFonts w:eastAsia="Calibri"/>
                <w:color w:val="000000"/>
                <w:sz w:val="20"/>
                <w:szCs w:val="20"/>
                <w:lang w:val="en-US"/>
              </w:rPr>
            </w:pPr>
          </w:p>
        </w:tc>
        <w:tc>
          <w:tcPr>
            <w:tcW w:w="1418" w:type="dxa"/>
            <w:tcBorders>
              <w:top w:val="single" w:sz="4" w:space="0" w:color="auto"/>
            </w:tcBorders>
            <w:shd w:val="clear" w:color="auto" w:fill="EEECE1"/>
          </w:tcPr>
          <w:p w14:paraId="76FB46D3" w14:textId="77777777" w:rsidR="009B19E0" w:rsidRPr="00184119" w:rsidRDefault="009B19E0" w:rsidP="00E2633F">
            <w:pPr>
              <w:spacing w:after="200" w:line="276" w:lineRule="auto"/>
              <w:rPr>
                <w:rFonts w:eastAsia="Calibri"/>
                <w:color w:val="000000"/>
                <w:sz w:val="20"/>
                <w:szCs w:val="20"/>
                <w:lang w:val="en-US"/>
              </w:rPr>
            </w:pPr>
          </w:p>
        </w:tc>
      </w:tr>
      <w:tr w:rsidR="009B19E0" w:rsidRPr="00184119" w14:paraId="2883BB4B" w14:textId="77777777" w:rsidTr="009B19E0">
        <w:tc>
          <w:tcPr>
            <w:tcW w:w="1241" w:type="dxa"/>
          </w:tcPr>
          <w:p w14:paraId="429DF5FE" w14:textId="77777777" w:rsidR="009B19E0" w:rsidRPr="00184119" w:rsidRDefault="009B19E0" w:rsidP="00E2633F">
            <w:pPr>
              <w:spacing w:after="200" w:line="276" w:lineRule="auto"/>
              <w:rPr>
                <w:rFonts w:eastAsia="Calibri"/>
                <w:color w:val="000000"/>
                <w:sz w:val="20"/>
                <w:szCs w:val="20"/>
                <w:highlight w:val="yellow"/>
                <w:lang w:val="en-US"/>
              </w:rPr>
            </w:pPr>
            <w:r w:rsidRPr="00184119">
              <w:rPr>
                <w:rFonts w:eastAsia="Calibri"/>
                <w:color w:val="000000"/>
                <w:sz w:val="20"/>
                <w:szCs w:val="20"/>
                <w:lang w:val="en-US"/>
              </w:rPr>
              <w:t>Ling, 2013</w:t>
            </w:r>
          </w:p>
        </w:tc>
        <w:tc>
          <w:tcPr>
            <w:tcW w:w="1736" w:type="dxa"/>
          </w:tcPr>
          <w:p w14:paraId="40F2FBD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Addiction severity index (ASI) - drug dimension score - specific to cocaine. Composite scores are calculated (between 0 and 1, with higher scores representing more severe addiction) for each of the seven dimensions. </w:t>
            </w:r>
          </w:p>
        </w:tc>
        <w:tc>
          <w:tcPr>
            <w:tcW w:w="1009" w:type="dxa"/>
          </w:tcPr>
          <w:p w14:paraId="44B38C5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51</w:t>
            </w:r>
          </w:p>
        </w:tc>
        <w:tc>
          <w:tcPr>
            <w:tcW w:w="855" w:type="dxa"/>
          </w:tcPr>
          <w:p w14:paraId="371CCD4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66FB586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CBT: 53</w:t>
            </w:r>
          </w:p>
        </w:tc>
        <w:tc>
          <w:tcPr>
            <w:tcW w:w="1079" w:type="dxa"/>
          </w:tcPr>
          <w:p w14:paraId="537A87A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1EB332F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CM: 49</w:t>
            </w:r>
          </w:p>
        </w:tc>
        <w:tc>
          <w:tcPr>
            <w:tcW w:w="1238" w:type="dxa"/>
          </w:tcPr>
          <w:p w14:paraId="5BB7F08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3A930BA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CBT + CM: 49</w:t>
            </w:r>
          </w:p>
        </w:tc>
        <w:tc>
          <w:tcPr>
            <w:tcW w:w="1018" w:type="dxa"/>
          </w:tcPr>
          <w:p w14:paraId="3632469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41CA77D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0F64C91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52</w:t>
            </w:r>
          </w:p>
        </w:tc>
      </w:tr>
      <w:tr w:rsidR="009B19E0" w:rsidRPr="00184119" w14:paraId="2B0A2B76" w14:textId="77777777" w:rsidTr="009B19E0">
        <w:tc>
          <w:tcPr>
            <w:tcW w:w="1241" w:type="dxa"/>
          </w:tcPr>
          <w:p w14:paraId="60B505B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Silverman, 2004</w:t>
            </w:r>
          </w:p>
        </w:tc>
        <w:tc>
          <w:tcPr>
            <w:tcW w:w="1736" w:type="dxa"/>
          </w:tcPr>
          <w:p w14:paraId="1BA8EC5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3A7E80B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26</w:t>
            </w:r>
          </w:p>
        </w:tc>
        <w:tc>
          <w:tcPr>
            <w:tcW w:w="855" w:type="dxa"/>
          </w:tcPr>
          <w:p w14:paraId="221BF90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262CEBD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CM: 26</w:t>
            </w:r>
          </w:p>
        </w:tc>
        <w:tc>
          <w:tcPr>
            <w:tcW w:w="1079" w:type="dxa"/>
          </w:tcPr>
          <w:p w14:paraId="245F70D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7C78BF9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3F5C169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4ADBAB5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68493EE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5CFF58B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4AFB702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52</w:t>
            </w:r>
          </w:p>
        </w:tc>
      </w:tr>
      <w:tr w:rsidR="009B19E0" w:rsidRPr="00184119" w14:paraId="0ECCD8B0" w14:textId="77777777" w:rsidTr="009B19E0">
        <w:tc>
          <w:tcPr>
            <w:tcW w:w="1241" w:type="dxa"/>
          </w:tcPr>
          <w:p w14:paraId="4032168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Woody, 1987</w:t>
            </w:r>
          </w:p>
        </w:tc>
        <w:tc>
          <w:tcPr>
            <w:tcW w:w="1736" w:type="dxa"/>
          </w:tcPr>
          <w:p w14:paraId="5C97DA0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 xml:space="preserve">Higher scores represent </w:t>
            </w:r>
            <w:r w:rsidRPr="00184119">
              <w:rPr>
                <w:rFonts w:eastAsia="Calibri"/>
                <w:color w:val="000000"/>
                <w:sz w:val="20"/>
                <w:szCs w:val="20"/>
                <w:lang w:val="en-US"/>
              </w:rPr>
              <w:lastRenderedPageBreak/>
              <w:t>more severe addiction.</w:t>
            </w:r>
          </w:p>
        </w:tc>
        <w:tc>
          <w:tcPr>
            <w:tcW w:w="1009" w:type="dxa"/>
          </w:tcPr>
          <w:p w14:paraId="4894A20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lastRenderedPageBreak/>
              <w:t>C: 31</w:t>
            </w:r>
          </w:p>
        </w:tc>
        <w:tc>
          <w:tcPr>
            <w:tcW w:w="855" w:type="dxa"/>
          </w:tcPr>
          <w:p w14:paraId="0918ABB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127FE4F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PSEP: 28</w:t>
            </w:r>
          </w:p>
        </w:tc>
        <w:tc>
          <w:tcPr>
            <w:tcW w:w="1079" w:type="dxa"/>
          </w:tcPr>
          <w:p w14:paraId="4F7FC9F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7475158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CBT: 34</w:t>
            </w:r>
          </w:p>
        </w:tc>
        <w:tc>
          <w:tcPr>
            <w:tcW w:w="1238" w:type="dxa"/>
          </w:tcPr>
          <w:p w14:paraId="4AC89AD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0CE9E5A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041B270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20B62E9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No significant differences between </w:t>
            </w:r>
            <w:r w:rsidRPr="00184119">
              <w:rPr>
                <w:rFonts w:eastAsia="Calibri"/>
                <w:color w:val="000000"/>
                <w:sz w:val="20"/>
                <w:szCs w:val="20"/>
                <w:lang w:val="en-US"/>
              </w:rPr>
              <w:lastRenderedPageBreak/>
              <w:t>groups were found (p&gt;.05).</w:t>
            </w:r>
          </w:p>
        </w:tc>
        <w:tc>
          <w:tcPr>
            <w:tcW w:w="1418" w:type="dxa"/>
          </w:tcPr>
          <w:p w14:paraId="0825021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lastRenderedPageBreak/>
              <w:t>52</w:t>
            </w:r>
          </w:p>
        </w:tc>
      </w:tr>
      <w:tr w:rsidR="009B19E0" w:rsidRPr="00184119" w14:paraId="3E8076E2" w14:textId="77777777" w:rsidTr="009B19E0">
        <w:tc>
          <w:tcPr>
            <w:tcW w:w="1241" w:type="dxa"/>
          </w:tcPr>
          <w:p w14:paraId="63A1863E" w14:textId="77777777" w:rsidR="009B19E0" w:rsidRPr="00184119" w:rsidRDefault="009B19E0"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Nyamathi</w:t>
            </w:r>
            <w:proofErr w:type="spellEnd"/>
            <w:r w:rsidRPr="00184119">
              <w:rPr>
                <w:rFonts w:eastAsia="Calibri"/>
                <w:color w:val="000000"/>
                <w:sz w:val="20"/>
                <w:szCs w:val="20"/>
                <w:lang w:val="en-US"/>
              </w:rPr>
              <w:t>, 2011</w:t>
            </w:r>
          </w:p>
        </w:tc>
        <w:tc>
          <w:tcPr>
            <w:tcW w:w="1736" w:type="dxa"/>
          </w:tcPr>
          <w:p w14:paraId="46A7DC1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Addiction severity index (ASI) - Lite - drug dimension score. The drugs considered in this instrument were: heroin, methadone, opiates/analgesics, barbiturates, cocaine, amphetamines, cannabis, hallucinogens and inhalants. Higher scores represent more severe addiction.</w:t>
            </w:r>
          </w:p>
        </w:tc>
        <w:tc>
          <w:tcPr>
            <w:tcW w:w="1009" w:type="dxa"/>
          </w:tcPr>
          <w:p w14:paraId="30B3BAA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Ed: 87</w:t>
            </w:r>
          </w:p>
        </w:tc>
        <w:tc>
          <w:tcPr>
            <w:tcW w:w="855" w:type="dxa"/>
          </w:tcPr>
          <w:p w14:paraId="7A0C26A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0.1 (1.5)</w:t>
            </w:r>
          </w:p>
        </w:tc>
        <w:tc>
          <w:tcPr>
            <w:tcW w:w="1397" w:type="dxa"/>
          </w:tcPr>
          <w:p w14:paraId="3F34B9C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MI: 90</w:t>
            </w:r>
          </w:p>
        </w:tc>
        <w:tc>
          <w:tcPr>
            <w:tcW w:w="1079" w:type="dxa"/>
          </w:tcPr>
          <w:p w14:paraId="64C7D5B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0.3 (1.7)</w:t>
            </w:r>
          </w:p>
        </w:tc>
        <w:tc>
          <w:tcPr>
            <w:tcW w:w="1238" w:type="dxa"/>
          </w:tcPr>
          <w:p w14:paraId="615FBAA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30898B3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27AD927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48D7E95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1E209FB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649B8D1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26</w:t>
            </w:r>
          </w:p>
        </w:tc>
      </w:tr>
      <w:tr w:rsidR="009B19E0" w:rsidRPr="00184119" w14:paraId="52F08D2E" w14:textId="77777777" w:rsidTr="009B19E0">
        <w:tc>
          <w:tcPr>
            <w:tcW w:w="1241" w:type="dxa"/>
          </w:tcPr>
          <w:p w14:paraId="615D998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Ball, 2007</w:t>
            </w:r>
          </w:p>
        </w:tc>
        <w:tc>
          <w:tcPr>
            <w:tcW w:w="1736" w:type="dxa"/>
          </w:tcPr>
          <w:p w14:paraId="5ED80A0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21050ED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+ 12-Step Facilitation Therapy: Not Reported</w:t>
            </w:r>
          </w:p>
        </w:tc>
        <w:tc>
          <w:tcPr>
            <w:tcW w:w="855" w:type="dxa"/>
          </w:tcPr>
          <w:p w14:paraId="5A177B0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51D8112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DFST: NR</w:t>
            </w:r>
          </w:p>
        </w:tc>
        <w:tc>
          <w:tcPr>
            <w:tcW w:w="1079" w:type="dxa"/>
          </w:tcPr>
          <w:p w14:paraId="69174CA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3DE3843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C53457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019D7F4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1228FA2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49123DF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5BE09CE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r w:rsidR="009B19E0" w:rsidRPr="00184119" w14:paraId="0CB263D5" w14:textId="77777777" w:rsidTr="009B19E0">
        <w:tc>
          <w:tcPr>
            <w:tcW w:w="1241" w:type="dxa"/>
          </w:tcPr>
          <w:p w14:paraId="7165052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Jiang, </w:t>
            </w:r>
            <w:r w:rsidRPr="00184119">
              <w:rPr>
                <w:rFonts w:eastAsia="Calibri"/>
                <w:color w:val="000000"/>
                <w:sz w:val="20"/>
                <w:szCs w:val="20"/>
                <w:lang w:val="en-US"/>
              </w:rPr>
              <w:t>2012</w:t>
            </w:r>
          </w:p>
        </w:tc>
        <w:tc>
          <w:tcPr>
            <w:tcW w:w="1736" w:type="dxa"/>
          </w:tcPr>
          <w:p w14:paraId="4B84D65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 xml:space="preserve">Higher scores represent </w:t>
            </w:r>
            <w:r w:rsidRPr="00184119">
              <w:rPr>
                <w:rFonts w:eastAsia="Calibri"/>
                <w:color w:val="000000"/>
                <w:sz w:val="20"/>
                <w:szCs w:val="20"/>
                <w:lang w:val="en-US"/>
              </w:rPr>
              <w:lastRenderedPageBreak/>
              <w:t>more severe addiction.</w:t>
            </w:r>
          </w:p>
        </w:tc>
        <w:tc>
          <w:tcPr>
            <w:tcW w:w="1009" w:type="dxa"/>
          </w:tcPr>
          <w:p w14:paraId="42204BA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lastRenderedPageBreak/>
              <w:t>C: 62</w:t>
            </w:r>
          </w:p>
        </w:tc>
        <w:tc>
          <w:tcPr>
            <w:tcW w:w="855" w:type="dxa"/>
          </w:tcPr>
          <w:p w14:paraId="6C043E4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0.05 (0.08)</w:t>
            </w:r>
          </w:p>
        </w:tc>
        <w:tc>
          <w:tcPr>
            <w:tcW w:w="1397" w:type="dxa"/>
          </w:tcPr>
          <w:p w14:paraId="79D540F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MI + CM: 63</w:t>
            </w:r>
          </w:p>
        </w:tc>
        <w:tc>
          <w:tcPr>
            <w:tcW w:w="1079" w:type="dxa"/>
          </w:tcPr>
          <w:p w14:paraId="052A3F9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0.03 (0.08)</w:t>
            </w:r>
          </w:p>
        </w:tc>
        <w:tc>
          <w:tcPr>
            <w:tcW w:w="1238" w:type="dxa"/>
          </w:tcPr>
          <w:p w14:paraId="40D6411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768B38B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60C856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396672B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2A4AEBE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No significant differences between groups were </w:t>
            </w:r>
            <w:r w:rsidRPr="00184119">
              <w:rPr>
                <w:rFonts w:eastAsia="Calibri"/>
                <w:color w:val="000000"/>
                <w:sz w:val="20"/>
                <w:szCs w:val="20"/>
                <w:lang w:val="en-US"/>
              </w:rPr>
              <w:lastRenderedPageBreak/>
              <w:t>found (p&gt;.05).</w:t>
            </w:r>
          </w:p>
        </w:tc>
        <w:tc>
          <w:tcPr>
            <w:tcW w:w="1418" w:type="dxa"/>
          </w:tcPr>
          <w:p w14:paraId="1749FE6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lastRenderedPageBreak/>
              <w:t>24</w:t>
            </w:r>
          </w:p>
        </w:tc>
      </w:tr>
      <w:tr w:rsidR="009B19E0" w:rsidRPr="00184119" w14:paraId="14853F3E" w14:textId="77777777" w:rsidTr="009B19E0">
        <w:tc>
          <w:tcPr>
            <w:tcW w:w="1241" w:type="dxa"/>
          </w:tcPr>
          <w:p w14:paraId="32AC99C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Abbott, 1998</w:t>
            </w:r>
          </w:p>
        </w:tc>
        <w:tc>
          <w:tcPr>
            <w:tcW w:w="1736" w:type="dxa"/>
          </w:tcPr>
          <w:p w14:paraId="22933D8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05AB672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55</w:t>
            </w:r>
          </w:p>
        </w:tc>
        <w:tc>
          <w:tcPr>
            <w:tcW w:w="855" w:type="dxa"/>
          </w:tcPr>
          <w:p w14:paraId="1BA08B6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0.16 (0.11)</w:t>
            </w:r>
          </w:p>
        </w:tc>
        <w:tc>
          <w:tcPr>
            <w:tcW w:w="1397" w:type="dxa"/>
          </w:tcPr>
          <w:p w14:paraId="791182A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CRA: 96</w:t>
            </w:r>
          </w:p>
        </w:tc>
        <w:tc>
          <w:tcPr>
            <w:tcW w:w="1079" w:type="dxa"/>
          </w:tcPr>
          <w:p w14:paraId="2FCF1BE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0.13 (0.09)</w:t>
            </w:r>
          </w:p>
        </w:tc>
        <w:tc>
          <w:tcPr>
            <w:tcW w:w="1238" w:type="dxa"/>
          </w:tcPr>
          <w:p w14:paraId="376DA2D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040BED1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8944C6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4C44B1B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026365B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The CRA group had a significantly greater reduction in drug use than the C group (p &lt; 0.05).</w:t>
            </w:r>
          </w:p>
        </w:tc>
        <w:tc>
          <w:tcPr>
            <w:tcW w:w="1418" w:type="dxa"/>
          </w:tcPr>
          <w:p w14:paraId="3A42175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r w:rsidR="009B19E0" w:rsidRPr="00184119" w14:paraId="0211C872" w14:textId="77777777" w:rsidTr="009B19E0">
        <w:tc>
          <w:tcPr>
            <w:tcW w:w="1241" w:type="dxa"/>
          </w:tcPr>
          <w:p w14:paraId="56D7FC9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Pollack, 2002</w:t>
            </w:r>
          </w:p>
        </w:tc>
        <w:tc>
          <w:tcPr>
            <w:tcW w:w="1736" w:type="dxa"/>
          </w:tcPr>
          <w:p w14:paraId="37015F15" w14:textId="77777777" w:rsidR="009B19E0" w:rsidRPr="00184119" w:rsidRDefault="009B19E0" w:rsidP="00E2633F">
            <w:pPr>
              <w:spacing w:after="200" w:line="276" w:lineRule="auto"/>
              <w:rPr>
                <w:rFonts w:eastAsia="Calibri"/>
                <w:color w:val="000000"/>
                <w:sz w:val="20"/>
                <w:szCs w:val="20"/>
                <w:lang w:val="fr-FR"/>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4AA96DA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C+CM: 11</w:t>
            </w:r>
          </w:p>
        </w:tc>
        <w:tc>
          <w:tcPr>
            <w:tcW w:w="855" w:type="dxa"/>
          </w:tcPr>
          <w:p w14:paraId="60DFEB3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094F977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CM+CBT: 12</w:t>
            </w:r>
          </w:p>
        </w:tc>
        <w:tc>
          <w:tcPr>
            <w:tcW w:w="1079" w:type="dxa"/>
          </w:tcPr>
          <w:p w14:paraId="4D736F9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608C3A1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7E9D361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70319B0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3A1520B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5794660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731B86D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24</w:t>
            </w:r>
          </w:p>
        </w:tc>
      </w:tr>
      <w:tr w:rsidR="009B19E0" w:rsidRPr="00184119" w14:paraId="65532036" w14:textId="77777777" w:rsidTr="009B19E0">
        <w:tc>
          <w:tcPr>
            <w:tcW w:w="1241" w:type="dxa"/>
          </w:tcPr>
          <w:p w14:paraId="7F43702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Downey, 2000</w:t>
            </w:r>
          </w:p>
        </w:tc>
        <w:tc>
          <w:tcPr>
            <w:tcW w:w="1736" w:type="dxa"/>
          </w:tcPr>
          <w:p w14:paraId="5931EDC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6B7C780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CBT: 21</w:t>
            </w:r>
          </w:p>
        </w:tc>
        <w:tc>
          <w:tcPr>
            <w:tcW w:w="855" w:type="dxa"/>
          </w:tcPr>
          <w:p w14:paraId="2116C63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01BE31A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CM + CBT: 20</w:t>
            </w:r>
          </w:p>
        </w:tc>
        <w:tc>
          <w:tcPr>
            <w:tcW w:w="1079" w:type="dxa"/>
          </w:tcPr>
          <w:p w14:paraId="7882893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42D6BE6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4353417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6C03807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5D6365D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4945B2A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11E3A58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17</w:t>
            </w:r>
          </w:p>
        </w:tc>
      </w:tr>
      <w:tr w:rsidR="009B19E0" w:rsidRPr="00184119" w14:paraId="5A38B25F" w14:textId="77777777" w:rsidTr="009B19E0">
        <w:tc>
          <w:tcPr>
            <w:tcW w:w="1241" w:type="dxa"/>
          </w:tcPr>
          <w:p w14:paraId="41079979" w14:textId="77777777" w:rsidR="009B19E0" w:rsidRPr="00184119" w:rsidRDefault="009B19E0"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Fals</w:t>
            </w:r>
            <w:proofErr w:type="spellEnd"/>
            <w:r w:rsidRPr="00184119">
              <w:rPr>
                <w:rFonts w:eastAsia="Calibri"/>
                <w:color w:val="000000"/>
                <w:sz w:val="20"/>
                <w:szCs w:val="20"/>
                <w:lang w:val="en-US"/>
              </w:rPr>
              <w:t>-Stewart, 2001</w:t>
            </w:r>
          </w:p>
        </w:tc>
        <w:tc>
          <w:tcPr>
            <w:tcW w:w="1736" w:type="dxa"/>
          </w:tcPr>
          <w:p w14:paraId="5B97995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61E2650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CBT: 17</w:t>
            </w:r>
          </w:p>
        </w:tc>
        <w:tc>
          <w:tcPr>
            <w:tcW w:w="855" w:type="dxa"/>
          </w:tcPr>
          <w:p w14:paraId="454B009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0.28 (0.08)</w:t>
            </w:r>
          </w:p>
        </w:tc>
        <w:tc>
          <w:tcPr>
            <w:tcW w:w="1397" w:type="dxa"/>
          </w:tcPr>
          <w:p w14:paraId="696226B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CBT + BCT: 19</w:t>
            </w:r>
          </w:p>
        </w:tc>
        <w:tc>
          <w:tcPr>
            <w:tcW w:w="1079" w:type="dxa"/>
          </w:tcPr>
          <w:p w14:paraId="7573814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0.16 (0.09)</w:t>
            </w:r>
          </w:p>
        </w:tc>
        <w:tc>
          <w:tcPr>
            <w:tcW w:w="1238" w:type="dxa"/>
          </w:tcPr>
          <w:p w14:paraId="6B349D3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C7F7DC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2209037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4ED6298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0904A06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 xml:space="preserve">The CBT+BCT group had a significantly greater reduction in drug use </w:t>
            </w:r>
            <w:r w:rsidRPr="00184119">
              <w:rPr>
                <w:rFonts w:eastAsia="Calibri"/>
                <w:color w:val="000000"/>
                <w:sz w:val="20"/>
                <w:szCs w:val="20"/>
                <w:lang w:val="en-US"/>
              </w:rPr>
              <w:lastRenderedPageBreak/>
              <w:t>than the CBT group (p &lt; 0.05).</w:t>
            </w:r>
          </w:p>
        </w:tc>
        <w:tc>
          <w:tcPr>
            <w:tcW w:w="1418" w:type="dxa"/>
          </w:tcPr>
          <w:p w14:paraId="1189456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lastRenderedPageBreak/>
              <w:t>16</w:t>
            </w:r>
          </w:p>
        </w:tc>
      </w:tr>
      <w:tr w:rsidR="009B19E0" w:rsidRPr="00184119" w14:paraId="40948C0C" w14:textId="77777777" w:rsidTr="009B19E0">
        <w:tc>
          <w:tcPr>
            <w:tcW w:w="1241" w:type="dxa"/>
          </w:tcPr>
          <w:p w14:paraId="4C1FCF9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Otto, 2014</w:t>
            </w:r>
          </w:p>
        </w:tc>
        <w:tc>
          <w:tcPr>
            <w:tcW w:w="1736" w:type="dxa"/>
          </w:tcPr>
          <w:p w14:paraId="7B6A941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42C0FD5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37</w:t>
            </w:r>
          </w:p>
        </w:tc>
        <w:tc>
          <w:tcPr>
            <w:tcW w:w="855" w:type="dxa"/>
          </w:tcPr>
          <w:p w14:paraId="00C3E68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766F561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CBT: 41</w:t>
            </w:r>
          </w:p>
        </w:tc>
        <w:tc>
          <w:tcPr>
            <w:tcW w:w="1079" w:type="dxa"/>
          </w:tcPr>
          <w:p w14:paraId="28462E5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276C5C0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0312662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73E5030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33B2649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5DC8AF4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76F8C46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12</w:t>
            </w:r>
          </w:p>
        </w:tc>
      </w:tr>
      <w:tr w:rsidR="009B19E0" w:rsidRPr="00184119" w14:paraId="40EDCB37" w14:textId="77777777" w:rsidTr="009B19E0">
        <w:tc>
          <w:tcPr>
            <w:tcW w:w="1241" w:type="dxa"/>
          </w:tcPr>
          <w:p w14:paraId="1DCD8B5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Christensen, 2014</w:t>
            </w:r>
          </w:p>
        </w:tc>
        <w:tc>
          <w:tcPr>
            <w:tcW w:w="1736" w:type="dxa"/>
          </w:tcPr>
          <w:p w14:paraId="7167606B"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25EAE49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CM: 78</w:t>
            </w:r>
          </w:p>
        </w:tc>
        <w:tc>
          <w:tcPr>
            <w:tcW w:w="855" w:type="dxa"/>
          </w:tcPr>
          <w:p w14:paraId="3F4FD76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7507A23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CM + CRA: 92</w:t>
            </w:r>
          </w:p>
        </w:tc>
        <w:tc>
          <w:tcPr>
            <w:tcW w:w="1079" w:type="dxa"/>
          </w:tcPr>
          <w:p w14:paraId="40E73EB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025D125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4795B87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5D1DEA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6F56C8F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6F67821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70F6A39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12</w:t>
            </w:r>
          </w:p>
        </w:tc>
      </w:tr>
      <w:tr w:rsidR="009B19E0" w:rsidRPr="00184119" w14:paraId="2F297A1E" w14:textId="77777777" w:rsidTr="009B19E0">
        <w:tc>
          <w:tcPr>
            <w:tcW w:w="1241" w:type="dxa"/>
          </w:tcPr>
          <w:p w14:paraId="7D99D93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Chopra, 2009</w:t>
            </w:r>
          </w:p>
        </w:tc>
        <w:tc>
          <w:tcPr>
            <w:tcW w:w="1736" w:type="dxa"/>
          </w:tcPr>
          <w:p w14:paraId="122F03D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30B27E6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37</w:t>
            </w:r>
          </w:p>
        </w:tc>
        <w:tc>
          <w:tcPr>
            <w:tcW w:w="855" w:type="dxa"/>
          </w:tcPr>
          <w:p w14:paraId="4AA843E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3442EDB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CM + CRA: 41</w:t>
            </w:r>
          </w:p>
        </w:tc>
        <w:tc>
          <w:tcPr>
            <w:tcW w:w="1079" w:type="dxa"/>
          </w:tcPr>
          <w:p w14:paraId="06A70AD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157566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1E9BBDF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7D44855"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05E7D24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297AA8C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61A918C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12</w:t>
            </w:r>
          </w:p>
        </w:tc>
      </w:tr>
      <w:tr w:rsidR="009B19E0" w:rsidRPr="00184119" w14:paraId="67F0CC5F" w14:textId="77777777" w:rsidTr="009B19E0">
        <w:trPr>
          <w:trHeight w:val="1695"/>
        </w:trPr>
        <w:tc>
          <w:tcPr>
            <w:tcW w:w="1241" w:type="dxa"/>
          </w:tcPr>
          <w:p w14:paraId="653E9E39" w14:textId="77777777" w:rsidR="009B19E0" w:rsidRPr="00184119" w:rsidRDefault="009B19E0" w:rsidP="00E2633F">
            <w:pPr>
              <w:spacing w:after="200" w:line="276" w:lineRule="auto"/>
              <w:rPr>
                <w:rFonts w:eastAsia="Calibri"/>
                <w:color w:val="000000"/>
                <w:sz w:val="20"/>
                <w:szCs w:val="20"/>
                <w:lang w:val="en-US"/>
              </w:rPr>
            </w:pPr>
            <w:proofErr w:type="spellStart"/>
            <w:r w:rsidRPr="00184119">
              <w:rPr>
                <w:rFonts w:eastAsia="Calibri"/>
                <w:color w:val="000000"/>
                <w:sz w:val="20"/>
                <w:szCs w:val="20"/>
                <w:lang w:val="en-US"/>
              </w:rPr>
              <w:t>Groß</w:t>
            </w:r>
            <w:proofErr w:type="spellEnd"/>
            <w:r w:rsidRPr="00184119">
              <w:rPr>
                <w:rFonts w:eastAsia="Calibri"/>
                <w:color w:val="000000"/>
                <w:sz w:val="20"/>
                <w:szCs w:val="20"/>
                <w:lang w:val="en-US"/>
              </w:rPr>
              <w:t>, 2006</w:t>
            </w:r>
          </w:p>
        </w:tc>
        <w:tc>
          <w:tcPr>
            <w:tcW w:w="1736" w:type="dxa"/>
          </w:tcPr>
          <w:p w14:paraId="2E48DBE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fr-FR"/>
              </w:rPr>
              <w:t xml:space="preserve">ASI – composite </w:t>
            </w:r>
            <w:proofErr w:type="spellStart"/>
            <w:r w:rsidRPr="00184119">
              <w:rPr>
                <w:rFonts w:eastAsia="Calibri"/>
                <w:color w:val="000000"/>
                <w:sz w:val="20"/>
                <w:szCs w:val="20"/>
                <w:lang w:val="fr-FR"/>
              </w:rPr>
              <w:t>drug</w:t>
            </w:r>
            <w:proofErr w:type="spellEnd"/>
            <w:r w:rsidRPr="00184119">
              <w:rPr>
                <w:rFonts w:eastAsia="Calibri"/>
                <w:color w:val="000000"/>
                <w:sz w:val="20"/>
                <w:szCs w:val="20"/>
                <w:lang w:val="fr-FR"/>
              </w:rPr>
              <w:t xml:space="preserve"> dimension score. </w:t>
            </w:r>
            <w:r w:rsidRPr="00184119">
              <w:rPr>
                <w:rFonts w:eastAsia="Calibri"/>
                <w:color w:val="000000"/>
                <w:sz w:val="20"/>
                <w:szCs w:val="20"/>
                <w:lang w:val="en-US"/>
              </w:rPr>
              <w:t>Higher scores represent more severe addiction.</w:t>
            </w:r>
          </w:p>
        </w:tc>
        <w:tc>
          <w:tcPr>
            <w:tcW w:w="1009" w:type="dxa"/>
          </w:tcPr>
          <w:p w14:paraId="3C2A108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20</w:t>
            </w:r>
          </w:p>
        </w:tc>
        <w:tc>
          <w:tcPr>
            <w:tcW w:w="855" w:type="dxa"/>
          </w:tcPr>
          <w:p w14:paraId="34C8E76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Pr>
          <w:p w14:paraId="1A633F6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CM: 20</w:t>
            </w:r>
          </w:p>
        </w:tc>
        <w:tc>
          <w:tcPr>
            <w:tcW w:w="1079" w:type="dxa"/>
          </w:tcPr>
          <w:p w14:paraId="6C832C99"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7F52EAE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2B0AB3E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4A474DE"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44243B3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3D00B3A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Pr>
          <w:p w14:paraId="5EF7EA9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12</w:t>
            </w:r>
          </w:p>
        </w:tc>
      </w:tr>
      <w:tr w:rsidR="009B19E0" w:rsidRPr="00184119" w14:paraId="7909A01E" w14:textId="77777777" w:rsidTr="009B19E0">
        <w:tc>
          <w:tcPr>
            <w:tcW w:w="1241" w:type="dxa"/>
          </w:tcPr>
          <w:p w14:paraId="1BDD46F5" w14:textId="77777777" w:rsidR="009B19E0" w:rsidRPr="00184119" w:rsidRDefault="009B19E0" w:rsidP="00E2633F">
            <w:pPr>
              <w:spacing w:after="200" w:line="276" w:lineRule="auto"/>
              <w:rPr>
                <w:rFonts w:eastAsia="Calibri"/>
                <w:color w:val="000000"/>
                <w:sz w:val="20"/>
                <w:szCs w:val="20"/>
                <w:lang w:val="en-US"/>
              </w:rPr>
            </w:pPr>
          </w:p>
        </w:tc>
        <w:tc>
          <w:tcPr>
            <w:tcW w:w="1736" w:type="dxa"/>
          </w:tcPr>
          <w:p w14:paraId="12F7F4CE" w14:textId="77777777" w:rsidR="009B19E0" w:rsidRPr="00184119" w:rsidRDefault="009B19E0" w:rsidP="00E2633F">
            <w:pPr>
              <w:spacing w:after="200" w:line="276" w:lineRule="auto"/>
              <w:rPr>
                <w:rFonts w:eastAsia="Calibri"/>
                <w:color w:val="000000"/>
                <w:sz w:val="20"/>
                <w:szCs w:val="20"/>
                <w:lang w:val="en-US"/>
              </w:rPr>
            </w:pPr>
          </w:p>
        </w:tc>
        <w:tc>
          <w:tcPr>
            <w:tcW w:w="1009" w:type="dxa"/>
          </w:tcPr>
          <w:p w14:paraId="4D774778" w14:textId="77777777" w:rsidR="009B19E0" w:rsidRPr="00184119" w:rsidRDefault="009B19E0" w:rsidP="00E2633F">
            <w:pPr>
              <w:spacing w:after="200" w:line="276" w:lineRule="auto"/>
              <w:rPr>
                <w:rFonts w:eastAsia="Calibri"/>
                <w:color w:val="000000"/>
                <w:sz w:val="20"/>
                <w:szCs w:val="20"/>
                <w:lang w:val="en-US"/>
              </w:rPr>
            </w:pPr>
          </w:p>
        </w:tc>
        <w:tc>
          <w:tcPr>
            <w:tcW w:w="855" w:type="dxa"/>
          </w:tcPr>
          <w:p w14:paraId="73FDAF1E" w14:textId="77777777" w:rsidR="009B19E0" w:rsidRPr="00184119" w:rsidRDefault="009B19E0" w:rsidP="00E2633F">
            <w:pPr>
              <w:spacing w:after="200" w:line="276" w:lineRule="auto"/>
              <w:rPr>
                <w:rFonts w:eastAsia="Calibri"/>
                <w:color w:val="000000"/>
                <w:sz w:val="20"/>
                <w:szCs w:val="20"/>
                <w:lang w:val="en-US"/>
              </w:rPr>
            </w:pPr>
          </w:p>
        </w:tc>
        <w:tc>
          <w:tcPr>
            <w:tcW w:w="1397" w:type="dxa"/>
          </w:tcPr>
          <w:p w14:paraId="6633FAA5" w14:textId="77777777" w:rsidR="009B19E0" w:rsidRPr="00184119" w:rsidRDefault="009B19E0" w:rsidP="00E2633F">
            <w:pPr>
              <w:spacing w:after="200" w:line="276" w:lineRule="auto"/>
              <w:rPr>
                <w:rFonts w:eastAsia="Calibri"/>
                <w:color w:val="000000"/>
                <w:sz w:val="20"/>
                <w:szCs w:val="20"/>
                <w:lang w:val="en-US"/>
              </w:rPr>
            </w:pPr>
          </w:p>
        </w:tc>
        <w:tc>
          <w:tcPr>
            <w:tcW w:w="1079" w:type="dxa"/>
          </w:tcPr>
          <w:p w14:paraId="732389BE" w14:textId="77777777" w:rsidR="009B19E0" w:rsidRPr="00184119" w:rsidRDefault="009B19E0" w:rsidP="00E2633F">
            <w:pPr>
              <w:spacing w:after="200" w:line="276" w:lineRule="auto"/>
              <w:rPr>
                <w:rFonts w:eastAsia="Calibri"/>
                <w:color w:val="000000"/>
                <w:sz w:val="20"/>
                <w:szCs w:val="20"/>
                <w:lang w:val="en-US"/>
              </w:rPr>
            </w:pPr>
          </w:p>
        </w:tc>
        <w:tc>
          <w:tcPr>
            <w:tcW w:w="1238" w:type="dxa"/>
          </w:tcPr>
          <w:p w14:paraId="35683D41" w14:textId="77777777" w:rsidR="009B19E0" w:rsidRPr="00184119" w:rsidRDefault="009B19E0" w:rsidP="00E2633F">
            <w:pPr>
              <w:spacing w:after="200" w:line="276" w:lineRule="auto"/>
              <w:rPr>
                <w:rFonts w:eastAsia="Calibri"/>
                <w:color w:val="000000"/>
                <w:sz w:val="20"/>
                <w:szCs w:val="20"/>
                <w:lang w:val="en-US"/>
              </w:rPr>
            </w:pPr>
          </w:p>
        </w:tc>
        <w:tc>
          <w:tcPr>
            <w:tcW w:w="1238" w:type="dxa"/>
          </w:tcPr>
          <w:p w14:paraId="7B02AA92" w14:textId="77777777" w:rsidR="009B19E0" w:rsidRPr="00184119" w:rsidRDefault="009B19E0" w:rsidP="00E2633F">
            <w:pPr>
              <w:spacing w:after="200" w:line="276" w:lineRule="auto"/>
              <w:rPr>
                <w:rFonts w:eastAsia="Calibri"/>
                <w:color w:val="000000"/>
                <w:sz w:val="20"/>
                <w:szCs w:val="20"/>
                <w:lang w:val="en-US"/>
              </w:rPr>
            </w:pPr>
          </w:p>
        </w:tc>
        <w:tc>
          <w:tcPr>
            <w:tcW w:w="1238" w:type="dxa"/>
          </w:tcPr>
          <w:p w14:paraId="30569994" w14:textId="77777777" w:rsidR="009B19E0" w:rsidRPr="00184119" w:rsidRDefault="009B19E0" w:rsidP="00E2633F">
            <w:pPr>
              <w:spacing w:after="200" w:line="276" w:lineRule="auto"/>
              <w:rPr>
                <w:rFonts w:eastAsia="Calibri"/>
                <w:color w:val="000000"/>
                <w:sz w:val="20"/>
                <w:szCs w:val="20"/>
                <w:lang w:val="en-US"/>
              </w:rPr>
            </w:pPr>
          </w:p>
        </w:tc>
        <w:tc>
          <w:tcPr>
            <w:tcW w:w="1018" w:type="dxa"/>
          </w:tcPr>
          <w:p w14:paraId="054E8408" w14:textId="77777777" w:rsidR="009B19E0" w:rsidRPr="00184119" w:rsidRDefault="009B19E0" w:rsidP="00E2633F">
            <w:pPr>
              <w:spacing w:after="200" w:line="276" w:lineRule="auto"/>
              <w:rPr>
                <w:rFonts w:eastAsia="Calibri"/>
                <w:color w:val="000000"/>
                <w:sz w:val="20"/>
                <w:szCs w:val="20"/>
                <w:lang w:val="en-US"/>
              </w:rPr>
            </w:pPr>
          </w:p>
        </w:tc>
        <w:tc>
          <w:tcPr>
            <w:tcW w:w="1276" w:type="dxa"/>
          </w:tcPr>
          <w:p w14:paraId="302BE267" w14:textId="77777777" w:rsidR="009B19E0" w:rsidRPr="00184119" w:rsidRDefault="009B19E0" w:rsidP="00E2633F">
            <w:pPr>
              <w:spacing w:after="200" w:line="276" w:lineRule="auto"/>
              <w:rPr>
                <w:rFonts w:eastAsia="Calibri"/>
                <w:color w:val="000000"/>
                <w:sz w:val="20"/>
                <w:szCs w:val="20"/>
                <w:lang w:val="en-US"/>
              </w:rPr>
            </w:pPr>
          </w:p>
        </w:tc>
        <w:tc>
          <w:tcPr>
            <w:tcW w:w="1418" w:type="dxa"/>
          </w:tcPr>
          <w:p w14:paraId="1E994570" w14:textId="77777777" w:rsidR="009B19E0" w:rsidRPr="00184119" w:rsidRDefault="009B19E0" w:rsidP="00E2633F">
            <w:pPr>
              <w:spacing w:after="200" w:line="276" w:lineRule="auto"/>
              <w:rPr>
                <w:rFonts w:eastAsia="Calibri"/>
                <w:color w:val="000000"/>
                <w:sz w:val="20"/>
                <w:szCs w:val="20"/>
                <w:lang w:val="en-US"/>
              </w:rPr>
            </w:pPr>
          </w:p>
        </w:tc>
      </w:tr>
      <w:tr w:rsidR="009B19E0" w:rsidRPr="00184119" w14:paraId="3DB1F098" w14:textId="77777777" w:rsidTr="009B19E0">
        <w:trPr>
          <w:trHeight w:val="68"/>
        </w:trPr>
        <w:tc>
          <w:tcPr>
            <w:tcW w:w="13325" w:type="dxa"/>
            <w:gridSpan w:val="11"/>
            <w:shd w:val="clear" w:color="auto" w:fill="EEECE1"/>
          </w:tcPr>
          <w:p w14:paraId="01509537" w14:textId="77777777" w:rsidR="009B19E0" w:rsidRPr="00184119" w:rsidRDefault="009B19E0" w:rsidP="00E2633F">
            <w:pPr>
              <w:spacing w:after="200" w:line="276" w:lineRule="auto"/>
              <w:rPr>
                <w:rFonts w:eastAsia="Calibri"/>
                <w:color w:val="000000"/>
                <w:sz w:val="20"/>
                <w:szCs w:val="20"/>
                <w:u w:val="single"/>
                <w:lang w:val="en-US"/>
              </w:rPr>
            </w:pPr>
            <w:r w:rsidRPr="00184119">
              <w:rPr>
                <w:rFonts w:eastAsia="Calibri"/>
                <w:i/>
                <w:iCs/>
                <w:color w:val="000000"/>
                <w:sz w:val="20"/>
                <w:szCs w:val="20"/>
                <w:u w:val="single"/>
                <w:lang w:val="en-US"/>
              </w:rPr>
              <w:t>Use of Cocaine in Past Month</w:t>
            </w:r>
          </w:p>
        </w:tc>
        <w:tc>
          <w:tcPr>
            <w:tcW w:w="1418" w:type="dxa"/>
            <w:shd w:val="clear" w:color="auto" w:fill="EEECE1"/>
          </w:tcPr>
          <w:p w14:paraId="0B790B4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 </w:t>
            </w:r>
          </w:p>
        </w:tc>
      </w:tr>
      <w:tr w:rsidR="009B19E0" w:rsidRPr="00184119" w14:paraId="69FD6D7E" w14:textId="77777777" w:rsidTr="009B19E0">
        <w:tc>
          <w:tcPr>
            <w:tcW w:w="1241" w:type="dxa"/>
          </w:tcPr>
          <w:p w14:paraId="6E67C1B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Catalano, 1999</w:t>
            </w:r>
          </w:p>
        </w:tc>
        <w:tc>
          <w:tcPr>
            <w:tcW w:w="1736" w:type="dxa"/>
          </w:tcPr>
          <w:p w14:paraId="1D80289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Mean times used cocaine in the previous month.</w:t>
            </w:r>
          </w:p>
        </w:tc>
        <w:tc>
          <w:tcPr>
            <w:tcW w:w="1009" w:type="dxa"/>
          </w:tcPr>
          <w:p w14:paraId="58A29DF2"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55</w:t>
            </w:r>
          </w:p>
        </w:tc>
        <w:tc>
          <w:tcPr>
            <w:tcW w:w="855" w:type="dxa"/>
          </w:tcPr>
          <w:p w14:paraId="71922C5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12.2 (45.7)</w:t>
            </w:r>
          </w:p>
        </w:tc>
        <w:tc>
          <w:tcPr>
            <w:tcW w:w="1397" w:type="dxa"/>
          </w:tcPr>
          <w:p w14:paraId="0FBD221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SBPT: 75</w:t>
            </w:r>
          </w:p>
        </w:tc>
        <w:tc>
          <w:tcPr>
            <w:tcW w:w="1079" w:type="dxa"/>
          </w:tcPr>
          <w:p w14:paraId="65D17D4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1.8 (7.4)</w:t>
            </w:r>
          </w:p>
        </w:tc>
        <w:tc>
          <w:tcPr>
            <w:tcW w:w="1238" w:type="dxa"/>
          </w:tcPr>
          <w:p w14:paraId="30C0247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56431BD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Pr>
          <w:p w14:paraId="678F7BD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Pr>
          <w:p w14:paraId="068FC40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Pr>
          <w:p w14:paraId="5460D660"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The C+SBPT group had a significantly greater reduction in drug use than the C group (p &lt; 0.05).</w:t>
            </w:r>
          </w:p>
        </w:tc>
        <w:tc>
          <w:tcPr>
            <w:tcW w:w="1418" w:type="dxa"/>
          </w:tcPr>
          <w:p w14:paraId="220D0EC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52</w:t>
            </w:r>
          </w:p>
        </w:tc>
      </w:tr>
      <w:tr w:rsidR="009B19E0" w:rsidRPr="00184119" w14:paraId="01890DD8" w14:textId="77777777" w:rsidTr="009B19E0">
        <w:tc>
          <w:tcPr>
            <w:tcW w:w="1241" w:type="dxa"/>
            <w:tcBorders>
              <w:bottom w:val="single" w:sz="4" w:space="0" w:color="auto"/>
            </w:tcBorders>
          </w:tcPr>
          <w:p w14:paraId="3A5E5C41"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O'Neill, 1996</w:t>
            </w:r>
          </w:p>
        </w:tc>
        <w:tc>
          <w:tcPr>
            <w:tcW w:w="1736" w:type="dxa"/>
            <w:tcBorders>
              <w:bottom w:val="single" w:sz="4" w:space="0" w:color="auto"/>
            </w:tcBorders>
          </w:tcPr>
          <w:p w14:paraId="51060F84"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The drug use subscale of the opioid treatment index. This scale assesses the subject’s use of 11 classes of drug in the month prior to the day of interview and provides an estimate of the number of episodes of use per day.</w:t>
            </w:r>
          </w:p>
        </w:tc>
        <w:tc>
          <w:tcPr>
            <w:tcW w:w="1009" w:type="dxa"/>
            <w:tcBorders>
              <w:bottom w:val="single" w:sz="4" w:space="0" w:color="auto"/>
            </w:tcBorders>
          </w:tcPr>
          <w:p w14:paraId="708E15FD"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40</w:t>
            </w:r>
          </w:p>
        </w:tc>
        <w:tc>
          <w:tcPr>
            <w:tcW w:w="855" w:type="dxa"/>
            <w:tcBorders>
              <w:bottom w:val="single" w:sz="4" w:space="0" w:color="auto"/>
            </w:tcBorders>
          </w:tcPr>
          <w:p w14:paraId="15EE7F5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397" w:type="dxa"/>
            <w:tcBorders>
              <w:bottom w:val="single" w:sz="4" w:space="0" w:color="auto"/>
            </w:tcBorders>
          </w:tcPr>
          <w:p w14:paraId="79985DA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C + CBT: 40</w:t>
            </w:r>
          </w:p>
        </w:tc>
        <w:tc>
          <w:tcPr>
            <w:tcW w:w="1079" w:type="dxa"/>
            <w:tcBorders>
              <w:bottom w:val="single" w:sz="4" w:space="0" w:color="auto"/>
            </w:tcBorders>
          </w:tcPr>
          <w:p w14:paraId="654DFE8C"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Borders>
              <w:bottom w:val="single" w:sz="4" w:space="0" w:color="auto"/>
            </w:tcBorders>
          </w:tcPr>
          <w:p w14:paraId="7C2B3F43"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Borders>
              <w:bottom w:val="single" w:sz="4" w:space="0" w:color="auto"/>
            </w:tcBorders>
          </w:tcPr>
          <w:p w14:paraId="2226D797"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38" w:type="dxa"/>
            <w:tcBorders>
              <w:bottom w:val="single" w:sz="4" w:space="0" w:color="auto"/>
            </w:tcBorders>
          </w:tcPr>
          <w:p w14:paraId="47298536"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018" w:type="dxa"/>
            <w:tcBorders>
              <w:bottom w:val="single" w:sz="4" w:space="0" w:color="auto"/>
            </w:tcBorders>
          </w:tcPr>
          <w:p w14:paraId="1EE83BCA"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N/A</w:t>
            </w:r>
          </w:p>
        </w:tc>
        <w:tc>
          <w:tcPr>
            <w:tcW w:w="1276" w:type="dxa"/>
            <w:tcBorders>
              <w:bottom w:val="single" w:sz="4" w:space="0" w:color="auto"/>
            </w:tcBorders>
          </w:tcPr>
          <w:p w14:paraId="4E4A7FAF"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No significant differences between groups were found (p&gt;.05).</w:t>
            </w:r>
          </w:p>
        </w:tc>
        <w:tc>
          <w:tcPr>
            <w:tcW w:w="1418" w:type="dxa"/>
            <w:tcBorders>
              <w:bottom w:val="single" w:sz="4" w:space="0" w:color="auto"/>
            </w:tcBorders>
          </w:tcPr>
          <w:p w14:paraId="1B114B78" w14:textId="77777777" w:rsidR="009B19E0" w:rsidRPr="00184119" w:rsidRDefault="009B19E0" w:rsidP="00E2633F">
            <w:pPr>
              <w:spacing w:after="200" w:line="276" w:lineRule="auto"/>
              <w:rPr>
                <w:rFonts w:eastAsia="Calibri"/>
                <w:color w:val="000000"/>
                <w:sz w:val="20"/>
                <w:szCs w:val="20"/>
                <w:lang w:val="en-US"/>
              </w:rPr>
            </w:pPr>
            <w:r w:rsidRPr="00184119">
              <w:rPr>
                <w:rFonts w:eastAsia="Calibri"/>
                <w:color w:val="000000"/>
                <w:sz w:val="20"/>
                <w:szCs w:val="20"/>
                <w:lang w:val="en-US"/>
              </w:rPr>
              <w:t>36</w:t>
            </w:r>
          </w:p>
        </w:tc>
      </w:tr>
    </w:tbl>
    <w:p w14:paraId="6F06302A" w14:textId="402824A6" w:rsidR="00D952BA" w:rsidRDefault="009B19E0" w:rsidP="009B19E0">
      <w:pPr>
        <w:spacing w:after="200" w:line="276" w:lineRule="auto"/>
      </w:pPr>
      <w:r w:rsidRPr="00184119">
        <w:rPr>
          <w:rFonts w:eastAsia="Calibri"/>
          <w:i/>
          <w:color w:val="000000"/>
          <w:sz w:val="20"/>
          <w:szCs w:val="20"/>
          <w:lang w:val="en-US"/>
        </w:rPr>
        <w:t xml:space="preserve">Note. </w:t>
      </w:r>
      <w:r w:rsidRPr="00184119">
        <w:rPr>
          <w:rFonts w:eastAsia="Calibri"/>
          <w:color w:val="000000"/>
          <w:sz w:val="20"/>
          <w:szCs w:val="20"/>
          <w:lang w:val="en-US"/>
        </w:rPr>
        <w:t xml:space="preserve"> NR = Not Reported, Ed = Education, MI = Motivational Interviewing, C = Counselling, CM = Contingency Management, CBT = Cognitive </w:t>
      </w:r>
      <w:proofErr w:type="spellStart"/>
      <w:r w:rsidRPr="00184119">
        <w:rPr>
          <w:rFonts w:eastAsia="Calibri"/>
          <w:color w:val="000000"/>
          <w:sz w:val="20"/>
          <w:szCs w:val="20"/>
          <w:lang w:val="en-US"/>
        </w:rPr>
        <w:t>Behavioural</w:t>
      </w:r>
      <w:proofErr w:type="spellEnd"/>
      <w:r w:rsidRPr="00184119">
        <w:rPr>
          <w:rFonts w:eastAsia="Calibri"/>
          <w:color w:val="000000"/>
          <w:sz w:val="20"/>
          <w:szCs w:val="20"/>
          <w:lang w:val="en-US"/>
        </w:rPr>
        <w:t xml:space="preserve"> Therapy, CRA = Community Reinforcement Approach, DFST = Dual Focus Schema Therapy, PSEP = Psychoanalytic Supportive-Expressive Psychotherapy, BCT = </w:t>
      </w:r>
      <w:proofErr w:type="spellStart"/>
      <w:r w:rsidRPr="00184119">
        <w:rPr>
          <w:rFonts w:eastAsia="Calibri"/>
          <w:color w:val="000000"/>
          <w:sz w:val="20"/>
          <w:szCs w:val="20"/>
          <w:lang w:val="en-US"/>
        </w:rPr>
        <w:t>Behavioural</w:t>
      </w:r>
      <w:proofErr w:type="spellEnd"/>
      <w:r w:rsidRPr="00184119">
        <w:rPr>
          <w:rFonts w:eastAsia="Calibri"/>
          <w:color w:val="000000"/>
          <w:sz w:val="20"/>
          <w:szCs w:val="20"/>
          <w:lang w:val="en-US"/>
        </w:rPr>
        <w:t xml:space="preserve"> Couples Therapy, SBP = Skills Based Parental Training</w:t>
      </w:r>
    </w:p>
    <w:sectPr w:rsidR="00D952BA" w:rsidSect="009B19E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9E0"/>
    <w:rsid w:val="00055D5B"/>
    <w:rsid w:val="0006680D"/>
    <w:rsid w:val="00085E7C"/>
    <w:rsid w:val="00105F57"/>
    <w:rsid w:val="00106802"/>
    <w:rsid w:val="0011491C"/>
    <w:rsid w:val="001751DA"/>
    <w:rsid w:val="0017772A"/>
    <w:rsid w:val="00183AA3"/>
    <w:rsid w:val="0018614A"/>
    <w:rsid w:val="001963BD"/>
    <w:rsid w:val="001E2433"/>
    <w:rsid w:val="001F58A0"/>
    <w:rsid w:val="00210639"/>
    <w:rsid w:val="00216B30"/>
    <w:rsid w:val="00235F16"/>
    <w:rsid w:val="002366D0"/>
    <w:rsid w:val="00237746"/>
    <w:rsid w:val="00243B08"/>
    <w:rsid w:val="002609D4"/>
    <w:rsid w:val="0027301E"/>
    <w:rsid w:val="002A03CE"/>
    <w:rsid w:val="002B2387"/>
    <w:rsid w:val="002E07B6"/>
    <w:rsid w:val="0030408A"/>
    <w:rsid w:val="00314625"/>
    <w:rsid w:val="003153D7"/>
    <w:rsid w:val="00360AAE"/>
    <w:rsid w:val="00396A14"/>
    <w:rsid w:val="00396A65"/>
    <w:rsid w:val="00396C07"/>
    <w:rsid w:val="00396CD9"/>
    <w:rsid w:val="003B73F2"/>
    <w:rsid w:val="003D3B2D"/>
    <w:rsid w:val="003F2CDE"/>
    <w:rsid w:val="003F3C80"/>
    <w:rsid w:val="004103E9"/>
    <w:rsid w:val="00412D41"/>
    <w:rsid w:val="00434D0C"/>
    <w:rsid w:val="004463A3"/>
    <w:rsid w:val="00450E09"/>
    <w:rsid w:val="004970A4"/>
    <w:rsid w:val="004A7FB1"/>
    <w:rsid w:val="00576965"/>
    <w:rsid w:val="005859E2"/>
    <w:rsid w:val="00591CF0"/>
    <w:rsid w:val="00591F75"/>
    <w:rsid w:val="005E4A31"/>
    <w:rsid w:val="006078B3"/>
    <w:rsid w:val="006135D7"/>
    <w:rsid w:val="00657E32"/>
    <w:rsid w:val="00683879"/>
    <w:rsid w:val="00692202"/>
    <w:rsid w:val="006B3863"/>
    <w:rsid w:val="006B5298"/>
    <w:rsid w:val="006E1ED6"/>
    <w:rsid w:val="007041AE"/>
    <w:rsid w:val="00726FC7"/>
    <w:rsid w:val="00736E67"/>
    <w:rsid w:val="00737517"/>
    <w:rsid w:val="00757674"/>
    <w:rsid w:val="00792A98"/>
    <w:rsid w:val="007B419E"/>
    <w:rsid w:val="007E695A"/>
    <w:rsid w:val="007F083C"/>
    <w:rsid w:val="008429FF"/>
    <w:rsid w:val="00871777"/>
    <w:rsid w:val="0088228E"/>
    <w:rsid w:val="00887C67"/>
    <w:rsid w:val="008A2708"/>
    <w:rsid w:val="008D31E7"/>
    <w:rsid w:val="008E69C7"/>
    <w:rsid w:val="00905170"/>
    <w:rsid w:val="0092352D"/>
    <w:rsid w:val="009B19E0"/>
    <w:rsid w:val="009E49BA"/>
    <w:rsid w:val="00A07801"/>
    <w:rsid w:val="00A15114"/>
    <w:rsid w:val="00A2511E"/>
    <w:rsid w:val="00A80DE7"/>
    <w:rsid w:val="00AB1B5B"/>
    <w:rsid w:val="00AC2989"/>
    <w:rsid w:val="00AD04E6"/>
    <w:rsid w:val="00AD4F06"/>
    <w:rsid w:val="00AF0FD9"/>
    <w:rsid w:val="00AF6495"/>
    <w:rsid w:val="00B22197"/>
    <w:rsid w:val="00B37D66"/>
    <w:rsid w:val="00B75D68"/>
    <w:rsid w:val="00BC50A8"/>
    <w:rsid w:val="00BE57FD"/>
    <w:rsid w:val="00BF5631"/>
    <w:rsid w:val="00BF7C9C"/>
    <w:rsid w:val="00C575D0"/>
    <w:rsid w:val="00C92148"/>
    <w:rsid w:val="00CA17C2"/>
    <w:rsid w:val="00CC7C6F"/>
    <w:rsid w:val="00CD7C0C"/>
    <w:rsid w:val="00D45CDD"/>
    <w:rsid w:val="00D61DB1"/>
    <w:rsid w:val="00DA2D4A"/>
    <w:rsid w:val="00DC237F"/>
    <w:rsid w:val="00E15742"/>
    <w:rsid w:val="00E32613"/>
    <w:rsid w:val="00E43668"/>
    <w:rsid w:val="00E53545"/>
    <w:rsid w:val="00ED0E56"/>
    <w:rsid w:val="00ED31CC"/>
    <w:rsid w:val="00F25222"/>
    <w:rsid w:val="00F55A5C"/>
    <w:rsid w:val="00F606C3"/>
    <w:rsid w:val="00F725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C0A0A20"/>
  <w15:chartTrackingRefBased/>
  <w15:docId w15:val="{6FF85533-73B6-764D-943B-6CC5B1E9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9E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F75"/>
    <w:rPr>
      <w:rFonts w:eastAsiaTheme="minorHAnsi"/>
      <w:sz w:val="18"/>
      <w:szCs w:val="18"/>
    </w:rPr>
  </w:style>
  <w:style w:type="character" w:customStyle="1" w:styleId="BalloonTextChar">
    <w:name w:val="Balloon Text Char"/>
    <w:basedOn w:val="DefaultParagraphFont"/>
    <w:link w:val="BalloonText"/>
    <w:uiPriority w:val="99"/>
    <w:semiHidden/>
    <w:rsid w:val="00591F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Rice</dc:creator>
  <cp:keywords/>
  <dc:description/>
  <cp:lastModifiedBy>Danielle Rice</cp:lastModifiedBy>
  <cp:revision>1</cp:revision>
  <dcterms:created xsi:type="dcterms:W3CDTF">2020-12-06T17:17:00Z</dcterms:created>
  <dcterms:modified xsi:type="dcterms:W3CDTF">2020-12-06T17:18:00Z</dcterms:modified>
</cp:coreProperties>
</file>