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E11BB" w14:textId="77777777" w:rsidR="005039BE" w:rsidRDefault="005039BE" w:rsidP="005039BE">
      <w:r>
        <w:rPr>
          <w:noProof/>
        </w:rPr>
        <w:drawing>
          <wp:inline distT="0" distB="0" distL="0" distR="0" wp14:anchorId="45E91C26" wp14:editId="1AE9C50F">
            <wp:extent cx="5943600" cy="5356860"/>
            <wp:effectExtent l="0" t="0" r="0" b="2540"/>
            <wp:docPr id="1" name="Picture 1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box and whisker ch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5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4B24AD" w14:textId="77777777" w:rsidR="005039BE" w:rsidRDefault="005039BE" w:rsidP="005039BE"/>
    <w:p w14:paraId="36CAD059" w14:textId="77777777" w:rsidR="005039BE" w:rsidRDefault="005039BE" w:rsidP="005039BE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S2 Figure. Engineering of the pre-aptamer sequence of </w:t>
      </w:r>
      <w:r>
        <w:rPr>
          <w:rFonts w:ascii="Arial" w:eastAsia="Arial" w:hAnsi="Arial" w:cs="Arial"/>
          <w:b/>
          <w:i/>
        </w:rPr>
        <w:t>pbuE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Pr="000E1170">
        <w:rPr>
          <w:rFonts w:ascii="Arial" w:eastAsia="Arial" w:hAnsi="Arial" w:cs="Arial"/>
        </w:rPr>
        <w:t>Direct comparison of</w:t>
      </w:r>
      <w:r>
        <w:rPr>
          <w:rFonts w:ascii="Arial" w:eastAsia="Arial" w:hAnsi="Arial" w:cs="Arial"/>
        </w:rPr>
        <w:t xml:space="preserve"> wild type (wt)</w:t>
      </w:r>
      <w:r w:rsidRPr="000E1170">
        <w:rPr>
          <w:rFonts w:ascii="Arial" w:eastAsia="Arial" w:hAnsi="Arial" w:cs="Arial"/>
        </w:rPr>
        <w:t xml:space="preserve"> </w:t>
      </w:r>
      <w:r w:rsidRPr="00363401">
        <w:rPr>
          <w:rFonts w:ascii="Arial" w:eastAsia="Arial" w:hAnsi="Arial" w:cs="Arial"/>
          <w:i/>
          <w:iCs/>
        </w:rPr>
        <w:t>pbuE</w:t>
      </w:r>
      <w:r w:rsidRPr="000E1170">
        <w:rPr>
          <w:rFonts w:ascii="Arial" w:eastAsia="Arial" w:hAnsi="Arial" w:cs="Arial"/>
        </w:rPr>
        <w:t xml:space="preserve">, </w:t>
      </w:r>
      <w:r w:rsidRPr="00363401">
        <w:rPr>
          <w:rFonts w:ascii="Arial" w:eastAsia="Arial" w:hAnsi="Arial" w:cs="Arial"/>
          <w:i/>
          <w:iCs/>
        </w:rPr>
        <w:t>pbuE</w:t>
      </w:r>
      <w:r w:rsidRPr="000E1170">
        <w:rPr>
          <w:rFonts w:ascii="Arial" w:eastAsia="Arial" w:hAnsi="Arial" w:cs="Arial"/>
        </w:rPr>
        <w:t xml:space="preserve"> with first 11 nucleotides removed from the pre- aptamer sequence</w:t>
      </w:r>
      <w:r>
        <w:rPr>
          <w:rFonts w:ascii="Arial" w:eastAsia="Arial" w:hAnsi="Arial" w:cs="Arial"/>
        </w:rPr>
        <w:t xml:space="preserve"> (∆11)</w:t>
      </w:r>
      <w:r w:rsidRPr="000E1170">
        <w:rPr>
          <w:rFonts w:ascii="Arial" w:eastAsia="Arial" w:hAnsi="Arial" w:cs="Arial"/>
        </w:rPr>
        <w:t xml:space="preserve">, and </w:t>
      </w:r>
      <w:r w:rsidRPr="00363401">
        <w:rPr>
          <w:rFonts w:ascii="Arial" w:eastAsia="Arial" w:hAnsi="Arial" w:cs="Arial"/>
          <w:i/>
          <w:iCs/>
        </w:rPr>
        <w:t>pbuE</w:t>
      </w:r>
      <w:r w:rsidRPr="000E1170">
        <w:rPr>
          <w:rFonts w:ascii="Arial" w:eastAsia="Arial" w:hAnsi="Arial" w:cs="Arial"/>
        </w:rPr>
        <w:t xml:space="preserve"> with 11 nucleotides removed and additional </w:t>
      </w:r>
      <w:r w:rsidRPr="00363401">
        <w:rPr>
          <w:rFonts w:ascii="Arial" w:eastAsia="Arial" w:hAnsi="Arial" w:cs="Arial"/>
          <w:i/>
          <w:iCs/>
        </w:rPr>
        <w:t>Aat</w:t>
      </w:r>
      <w:r w:rsidRPr="000E1170">
        <w:rPr>
          <w:rFonts w:ascii="Arial" w:eastAsia="Arial" w:hAnsi="Arial" w:cs="Arial"/>
        </w:rPr>
        <w:t xml:space="preserve">II and </w:t>
      </w:r>
      <w:r w:rsidRPr="00363401">
        <w:rPr>
          <w:rFonts w:ascii="Arial" w:eastAsia="Arial" w:hAnsi="Arial" w:cs="Arial"/>
          <w:i/>
          <w:iCs/>
        </w:rPr>
        <w:t>Spe</w:t>
      </w:r>
      <w:r w:rsidRPr="000E1170">
        <w:rPr>
          <w:rFonts w:ascii="Arial" w:eastAsia="Arial" w:hAnsi="Arial" w:cs="Arial"/>
        </w:rPr>
        <w:t>I restriction sites added</w:t>
      </w:r>
      <w:r>
        <w:rPr>
          <w:rFonts w:ascii="Arial" w:eastAsia="Arial" w:hAnsi="Arial" w:cs="Arial"/>
        </w:rPr>
        <w:t xml:space="preserve"> (∆11,RS) and</w:t>
      </w:r>
      <w:r w:rsidRPr="00363401">
        <w:rPr>
          <w:rFonts w:ascii="Arial" w:eastAsia="Arial" w:hAnsi="Arial" w:cs="Arial"/>
          <w:i/>
          <w:iCs/>
        </w:rPr>
        <w:t xml:space="preserve"> pbuE</w:t>
      </w:r>
      <w:r>
        <w:rPr>
          <w:rFonts w:ascii="Arial" w:eastAsia="Arial" w:hAnsi="Arial" w:cs="Arial"/>
        </w:rPr>
        <w:t xml:space="preserve"> with the first 27 nucleotides removed (∆27).</w:t>
      </w:r>
      <w:r w:rsidRPr="000E1170">
        <w:rPr>
          <w:rFonts w:ascii="Arial" w:eastAsia="Arial" w:hAnsi="Arial" w:cs="Arial"/>
        </w:rPr>
        <w:t xml:space="preserve"> Each control was assayed in the absence (</w:t>
      </w:r>
      <w:r>
        <w:rPr>
          <w:rFonts w:ascii="Arial" w:eastAsia="Arial" w:hAnsi="Arial" w:cs="Arial"/>
        </w:rPr>
        <w:t>red</w:t>
      </w:r>
      <w:r w:rsidRPr="000E1170">
        <w:rPr>
          <w:rFonts w:ascii="Arial" w:eastAsia="Arial" w:hAnsi="Arial" w:cs="Arial"/>
        </w:rPr>
        <w:t>) and presence (</w:t>
      </w:r>
      <w:r>
        <w:rPr>
          <w:rFonts w:ascii="Arial" w:eastAsia="Arial" w:hAnsi="Arial" w:cs="Arial"/>
        </w:rPr>
        <w:t>blue</w:t>
      </w:r>
      <w:r w:rsidRPr="000E1170">
        <w:rPr>
          <w:rFonts w:ascii="Arial" w:eastAsia="Arial" w:hAnsi="Arial" w:cs="Arial"/>
        </w:rPr>
        <w:t>) of 2AP with the fold induction reported</w:t>
      </w:r>
      <w:r>
        <w:rPr>
          <w:rFonts w:ascii="Arial" w:eastAsia="Arial" w:hAnsi="Arial" w:cs="Arial"/>
        </w:rPr>
        <w:t xml:space="preserve"> in a standard boxplot format</w:t>
      </w:r>
      <w:r w:rsidRPr="000E1170">
        <w:rPr>
          <w:rFonts w:ascii="Arial" w:eastAsia="Arial" w:hAnsi="Arial" w:cs="Arial"/>
        </w:rPr>
        <w:t xml:space="preserve"> in green</w:t>
      </w:r>
      <w:r w:rsidRPr="005802DB">
        <w:rPr>
          <w:rFonts w:ascii="Arial" w:eastAsia="Arial" w:hAnsi="Arial" w:cs="Arial"/>
        </w:rPr>
        <w:t>.</w:t>
      </w:r>
      <w:r w:rsidRPr="00363401">
        <w:rPr>
          <w:rFonts w:ascii="Arial" w:eastAsia="Arial" w:hAnsi="Arial" w:cs="Arial"/>
        </w:rPr>
        <w:t xml:space="preserve">  Red and blue bars represent the median value and the dashed line represents a fold induction value of 1 (no induction of reporter expression in the presence of 2AP).</w:t>
      </w:r>
    </w:p>
    <w:p w14:paraId="1DA7B575" w14:textId="77777777" w:rsidR="005039BE" w:rsidRDefault="005039BE" w:rsidP="005039BE">
      <w:pPr>
        <w:rPr>
          <w:rFonts w:ascii="Arial" w:eastAsia="Arial" w:hAnsi="Arial" w:cs="Arial"/>
        </w:rPr>
      </w:pPr>
    </w:p>
    <w:p w14:paraId="4E0409F5" w14:textId="77777777" w:rsidR="005039BE" w:rsidRDefault="005039BE"/>
    <w:sectPr w:rsidR="005039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9BE"/>
    <w:rsid w:val="005039BE"/>
    <w:rsid w:val="00C9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1C1E1"/>
  <w15:chartTrackingRefBased/>
  <w15:docId w15:val="{AD279D18-50E0-447D-95E5-CB805738A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hyd off44</dc:creator>
  <cp:keywords/>
  <dc:description/>
  <cp:lastModifiedBy>hyd off44</cp:lastModifiedBy>
  <cp:revision>1</cp:revision>
  <dcterms:created xsi:type="dcterms:W3CDTF">2020-11-20T02:17:00Z</dcterms:created>
  <dcterms:modified xsi:type="dcterms:W3CDTF">2020-11-20T02:17:00Z</dcterms:modified>
</cp:coreProperties>
</file>