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3C2A3" w14:textId="77777777" w:rsidR="00426A8A" w:rsidRPr="00B86189" w:rsidRDefault="00426A8A" w:rsidP="00426A8A">
      <w:pPr>
        <w:pStyle w:val="MDPI21heading1"/>
        <w:spacing w:before="0" w:after="0"/>
        <w:jc w:val="center"/>
        <w:rPr>
          <w:rFonts w:ascii="Times New Roman" w:hAnsi="Times New Roman"/>
          <w:bCs/>
          <w:color w:val="000000" w:themeColor="text1"/>
        </w:rPr>
      </w:pPr>
      <w:r w:rsidRPr="00B86189">
        <w:rPr>
          <w:rFonts w:ascii="Times New Roman" w:hAnsi="Times New Roman"/>
          <w:bCs/>
          <w:noProof/>
          <w:color w:val="000000" w:themeColor="text1"/>
        </w:rPr>
        <w:drawing>
          <wp:inline distT="0" distB="0" distL="0" distR="0" wp14:anchorId="781DD216" wp14:editId="2B119958">
            <wp:extent cx="3381920" cy="64680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87025" cy="64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C181" w14:textId="77777777" w:rsidR="00426A8A" w:rsidRPr="00B86189" w:rsidRDefault="00426A8A" w:rsidP="00426A8A">
      <w:pPr>
        <w:pStyle w:val="MDPI21heading1"/>
        <w:spacing w:before="0" w:after="0"/>
        <w:rPr>
          <w:rFonts w:ascii="Times New Roman" w:hAnsi="Times New Roman"/>
          <w:bCs/>
          <w:color w:val="000000" w:themeColor="text1"/>
        </w:rPr>
      </w:pPr>
    </w:p>
    <w:p w14:paraId="4DA246FB" w14:textId="77777777" w:rsidR="00426A8A" w:rsidRPr="006968DB" w:rsidRDefault="00426A8A" w:rsidP="00426A8A">
      <w:pPr>
        <w:snapToGrid w:val="0"/>
        <w:spacing w:line="240" w:lineRule="auto"/>
        <w:rPr>
          <w:b/>
          <w:bCs/>
          <w:color w:val="000000" w:themeColor="text1"/>
          <w:szCs w:val="24"/>
        </w:rPr>
      </w:pPr>
      <w:r w:rsidRPr="006968DB">
        <w:rPr>
          <w:b/>
          <w:bCs/>
          <w:color w:val="000000" w:themeColor="text1"/>
          <w:szCs w:val="24"/>
        </w:rPr>
        <w:t>S</w:t>
      </w:r>
      <w:r>
        <w:rPr>
          <w:b/>
          <w:bCs/>
          <w:color w:val="000000" w:themeColor="text1"/>
          <w:szCs w:val="24"/>
        </w:rPr>
        <w:t>1</w:t>
      </w:r>
      <w:r w:rsidRPr="006968DB">
        <w:rPr>
          <w:b/>
          <w:bCs/>
          <w:color w:val="000000" w:themeColor="text1"/>
          <w:szCs w:val="24"/>
        </w:rPr>
        <w:t xml:space="preserve"> Fig. Characterization of tubes and spheres. </w:t>
      </w:r>
    </w:p>
    <w:p w14:paraId="6589F235" w14:textId="77777777" w:rsidR="00426A8A" w:rsidRPr="006968DB" w:rsidRDefault="00426A8A" w:rsidP="00426A8A">
      <w:pPr>
        <w:snapToGrid w:val="0"/>
        <w:spacing w:line="240" w:lineRule="auto"/>
        <w:rPr>
          <w:color w:val="000000" w:themeColor="text1"/>
          <w:szCs w:val="24"/>
          <w:lang w:val="en-GB" w:eastAsia="en-GB"/>
        </w:rPr>
      </w:pPr>
      <w:r w:rsidRPr="006968DB">
        <w:rPr>
          <w:color w:val="000000" w:themeColor="text1"/>
          <w:szCs w:val="24"/>
          <w:lang w:val="en-GB" w:eastAsia="en-GB"/>
        </w:rPr>
        <w:t>(</w:t>
      </w:r>
      <w:r w:rsidRPr="006968DB">
        <w:rPr>
          <w:b/>
          <w:bCs/>
          <w:color w:val="000000" w:themeColor="text1"/>
          <w:szCs w:val="24"/>
          <w:lang w:val="en-GB" w:eastAsia="en-GB"/>
        </w:rPr>
        <w:t>A</w:t>
      </w:r>
      <w:r w:rsidRPr="006968DB">
        <w:rPr>
          <w:color w:val="000000" w:themeColor="text1"/>
          <w:szCs w:val="24"/>
          <w:lang w:val="en-GB" w:eastAsia="en-GB"/>
        </w:rPr>
        <w:t>)</w:t>
      </w:r>
      <w:r>
        <w:rPr>
          <w:color w:val="000000" w:themeColor="text1"/>
          <w:szCs w:val="24"/>
          <w:lang w:val="en-GB" w:eastAsia="en-GB"/>
        </w:rPr>
        <w:t xml:space="preserve"> </w:t>
      </w:r>
      <w:r w:rsidRPr="006968DB">
        <w:rPr>
          <w:color w:val="000000" w:themeColor="text1"/>
          <w:szCs w:val="24"/>
          <w:lang w:val="en-GB" w:eastAsia="en-GB"/>
        </w:rPr>
        <w:t>The histograms represent the diameter of the spheres and the relative correlation function measured by DLS. (</w:t>
      </w:r>
      <w:r w:rsidRPr="006968DB">
        <w:rPr>
          <w:b/>
          <w:bCs/>
          <w:color w:val="000000" w:themeColor="text1"/>
          <w:szCs w:val="24"/>
          <w:lang w:val="en-GB" w:eastAsia="en-GB"/>
        </w:rPr>
        <w:t>B</w:t>
      </w:r>
      <w:r w:rsidRPr="006968DB">
        <w:rPr>
          <w:color w:val="000000" w:themeColor="text1"/>
          <w:szCs w:val="24"/>
          <w:lang w:val="en-GB" w:eastAsia="en-GB"/>
        </w:rPr>
        <w:t xml:space="preserve">) Image analysis of Spheres and Tubes from TEM micrographs. Size distribution was measured on 100 nanoparticles for each sample and fitted by a normal Gaussian function using OriginPro8.5 (red line). </w:t>
      </w:r>
      <w:r w:rsidRPr="006968DB">
        <w:rPr>
          <w:b/>
          <w:bCs/>
          <w:color w:val="000000" w:themeColor="text1"/>
          <w:szCs w:val="24"/>
          <w:lang w:val="en-GB" w:eastAsia="en-GB"/>
        </w:rPr>
        <w:t xml:space="preserve">(C)  </w:t>
      </w:r>
      <w:r w:rsidRPr="006968DB">
        <w:rPr>
          <w:color w:val="000000" w:themeColor="text1"/>
          <w:szCs w:val="24"/>
          <w:lang w:val="en-GB" w:eastAsia="en-GB"/>
        </w:rPr>
        <w:t xml:space="preserve">Average morphologic parameters ± standard deviation of spheres or tubes </w:t>
      </w:r>
      <w:proofErr w:type="spellStart"/>
      <w:r w:rsidRPr="006968DB">
        <w:rPr>
          <w:color w:val="000000" w:themeColor="text1"/>
          <w:szCs w:val="24"/>
          <w:lang w:val="en-GB" w:eastAsia="en-GB"/>
        </w:rPr>
        <w:t>polymersomes</w:t>
      </w:r>
      <w:proofErr w:type="spellEnd"/>
      <w:r w:rsidRPr="006968DB">
        <w:rPr>
          <w:color w:val="000000" w:themeColor="text1"/>
          <w:szCs w:val="24"/>
          <w:lang w:val="en-GB" w:eastAsia="en-GB"/>
        </w:rPr>
        <w:t xml:space="preserve">. The table clearly shows that the reduction of circularity is dependent on sucrose %. </w:t>
      </w:r>
    </w:p>
    <w:p w14:paraId="3CA655C3" w14:textId="77777777" w:rsidR="00426A8A" w:rsidRDefault="00426A8A"/>
    <w:sectPr w:rsidR="00426A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8A"/>
    <w:rsid w:val="00426A8A"/>
    <w:rsid w:val="0086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AF1C7"/>
  <w15:chartTrackingRefBased/>
  <w15:docId w15:val="{D495BFB3-43C7-41C4-9E28-D58D6411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A8A"/>
    <w:pPr>
      <w:spacing w:after="0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en-US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21heading1">
    <w:name w:val="MDPI_2.1_heading1"/>
    <w:basedOn w:val="Normal"/>
    <w:qFormat/>
    <w:rsid w:val="00426A8A"/>
    <w:pPr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hAnsi="Palatino Linotype"/>
      <w:b/>
      <w:snapToGrid w:val="0"/>
      <w:sz w:val="20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hyd off44</dc:creator>
  <cp:keywords/>
  <dc:description/>
  <cp:lastModifiedBy>hyd off44</cp:lastModifiedBy>
  <cp:revision>1</cp:revision>
  <dcterms:created xsi:type="dcterms:W3CDTF">2020-10-28T01:16:00Z</dcterms:created>
  <dcterms:modified xsi:type="dcterms:W3CDTF">2020-10-28T01:16:00Z</dcterms:modified>
</cp:coreProperties>
</file>