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BE25D" w14:textId="77777777" w:rsidR="000B3A10" w:rsidRPr="002661E7" w:rsidRDefault="000B3A10" w:rsidP="000B3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</w:t>
      </w:r>
      <w:r w:rsidRPr="002661E7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661E7">
        <w:rPr>
          <w:rFonts w:ascii="Times New Roman" w:hAnsi="Times New Roman" w:cs="Times New Roman"/>
          <w:b/>
          <w:bCs/>
          <w:sz w:val="24"/>
          <w:szCs w:val="24"/>
        </w:rPr>
        <w:t>: Association between the Omentin SNP rs2274907</w:t>
      </w:r>
      <w:r w:rsidRPr="002661E7">
        <w:rPr>
          <w:rFonts w:ascii="Times New Roman" w:hAnsi="Times New Roman" w:cs="Times New Roman"/>
          <w:sz w:val="24"/>
          <w:szCs w:val="24"/>
        </w:rPr>
        <w:t xml:space="preserve"> </w:t>
      </w:r>
      <w:r w:rsidRPr="002661E7">
        <w:rPr>
          <w:rFonts w:ascii="Times New Roman" w:hAnsi="Times New Roman" w:cs="Times New Roman"/>
          <w:b/>
          <w:bCs/>
          <w:sz w:val="24"/>
          <w:szCs w:val="24"/>
        </w:rPr>
        <w:t>and cardiometabolic health status.</w:t>
      </w:r>
      <w:r w:rsidRPr="002661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355" w:type="dxa"/>
        <w:tblLayout w:type="fixed"/>
        <w:tblLook w:val="04A0" w:firstRow="1" w:lastRow="0" w:firstColumn="1" w:lastColumn="0" w:noHBand="0" w:noVBand="1"/>
      </w:tblPr>
      <w:tblGrid>
        <w:gridCol w:w="2000"/>
        <w:gridCol w:w="2899"/>
        <w:gridCol w:w="2360"/>
        <w:gridCol w:w="1096"/>
      </w:tblGrid>
      <w:tr w:rsidR="000B3A10" w:rsidRPr="002661E7" w14:paraId="776D52E2" w14:textId="77777777" w:rsidTr="00F374E8">
        <w:tc>
          <w:tcPr>
            <w:tcW w:w="2000" w:type="dxa"/>
          </w:tcPr>
          <w:p w14:paraId="5337C20E" w14:textId="77777777" w:rsidR="000B3A10" w:rsidRPr="002661E7" w:rsidRDefault="000B3A10" w:rsidP="00F3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Genotypes</w:t>
            </w:r>
          </w:p>
        </w:tc>
        <w:tc>
          <w:tcPr>
            <w:tcW w:w="6355" w:type="dxa"/>
            <w:gridSpan w:val="3"/>
          </w:tcPr>
          <w:p w14:paraId="1D1C7CBD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E7">
              <w:rPr>
                <w:rFonts w:ascii="Times New Roman" w:hAnsi="Times New Roman" w:cs="Times New Roman"/>
                <w:b/>
                <w:sz w:val="24"/>
                <w:szCs w:val="24"/>
              </w:rPr>
              <w:t>Cardiometabolic health status</w:t>
            </w:r>
          </w:p>
          <w:p w14:paraId="68EA167B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A10" w:rsidRPr="002661E7" w14:paraId="2AD00B7F" w14:textId="77777777" w:rsidTr="00F374E8">
        <w:tc>
          <w:tcPr>
            <w:tcW w:w="2000" w:type="dxa"/>
          </w:tcPr>
          <w:p w14:paraId="38119F03" w14:textId="77777777" w:rsidR="000B3A10" w:rsidRPr="002661E7" w:rsidRDefault="000B3A10" w:rsidP="00F3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0E1A1F" w14:textId="77777777" w:rsidR="000B3A10" w:rsidRPr="002661E7" w:rsidRDefault="000B3A10" w:rsidP="00F3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</w:tcPr>
          <w:p w14:paraId="130CDD8C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66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Cardiometabolically healthy (N=370)</w:t>
            </w:r>
          </w:p>
        </w:tc>
        <w:tc>
          <w:tcPr>
            <w:tcW w:w="2360" w:type="dxa"/>
          </w:tcPr>
          <w:p w14:paraId="6F9C05DE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66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Cardiometabolically Unhealthy (N=1,516)</w:t>
            </w:r>
          </w:p>
        </w:tc>
        <w:tc>
          <w:tcPr>
            <w:tcW w:w="1096" w:type="dxa"/>
          </w:tcPr>
          <w:p w14:paraId="4F9A16D3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56A7C2F" w14:textId="77777777" w:rsidR="000B3A10" w:rsidRDefault="000B3A10" w:rsidP="00F37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P-value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14:paraId="412B079E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3A10" w:rsidRPr="002661E7" w14:paraId="75F00C8A" w14:textId="77777777" w:rsidTr="00F374E8">
        <w:tc>
          <w:tcPr>
            <w:tcW w:w="8355" w:type="dxa"/>
            <w:gridSpan w:val="4"/>
          </w:tcPr>
          <w:p w14:paraId="0A55CB7A" w14:textId="77777777" w:rsidR="000B3A10" w:rsidRDefault="000B3A10" w:rsidP="00F3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Additive model</w:t>
            </w:r>
          </w:p>
          <w:p w14:paraId="186BAD9D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3A10" w:rsidRPr="002661E7" w14:paraId="314E7FB9" w14:textId="77777777" w:rsidTr="00F374E8">
        <w:tc>
          <w:tcPr>
            <w:tcW w:w="2000" w:type="dxa"/>
          </w:tcPr>
          <w:p w14:paraId="151E064B" w14:textId="77777777" w:rsidR="000B3A10" w:rsidRPr="002661E7" w:rsidRDefault="000B3A10" w:rsidP="00F3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  <w:r w:rsidRPr="0026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9" w:type="dxa"/>
          </w:tcPr>
          <w:p w14:paraId="3BE41DF9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14:paraId="395EB22C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7">
              <w:rPr>
                <w:rFonts w:ascii="Times New Roman" w:hAnsi="Times New Roman" w:cs="Times New Roman"/>
                <w:sz w:val="24"/>
                <w:szCs w:val="24"/>
              </w:rPr>
              <w:t>(62.4%)</w:t>
            </w:r>
          </w:p>
          <w:p w14:paraId="00E61E3A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17223B30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  <w:p w14:paraId="1745690C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7">
              <w:rPr>
                <w:rFonts w:ascii="Times New Roman" w:hAnsi="Times New Roman" w:cs="Times New Roman"/>
                <w:sz w:val="24"/>
                <w:szCs w:val="24"/>
              </w:rPr>
              <w:t>(60.0%)</w:t>
            </w:r>
          </w:p>
          <w:p w14:paraId="5CDBB0B6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14:paraId="731712EA" w14:textId="77777777" w:rsidR="000B3A10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D869B" w14:textId="77777777" w:rsidR="000B3A10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1BBDA" w14:textId="77777777" w:rsidR="000B3A10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08857" w14:textId="77777777" w:rsidR="000B3A10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B4C0C" w14:textId="77777777" w:rsidR="000B3A10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1250E" w14:textId="77777777" w:rsidR="000B3A10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74282" w14:textId="77777777" w:rsidR="000B3A10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F4673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0B3A10" w:rsidRPr="002661E7" w14:paraId="233EE02E" w14:textId="77777777" w:rsidTr="00F374E8">
        <w:tc>
          <w:tcPr>
            <w:tcW w:w="2000" w:type="dxa"/>
          </w:tcPr>
          <w:p w14:paraId="2B869CCC" w14:textId="77777777" w:rsidR="000B3A10" w:rsidRPr="002661E7" w:rsidRDefault="000B3A10" w:rsidP="00F3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</w:t>
            </w:r>
          </w:p>
        </w:tc>
        <w:tc>
          <w:tcPr>
            <w:tcW w:w="2899" w:type="dxa"/>
          </w:tcPr>
          <w:p w14:paraId="663A079D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5B42F324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2661E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32769581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0A523F26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14:paraId="104D3AA6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  <w:r w:rsidRPr="002661E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7DCF9B5D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14:paraId="20882D4E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10" w:rsidRPr="002661E7" w14:paraId="50ADDE00" w14:textId="77777777" w:rsidTr="00F374E8">
        <w:tc>
          <w:tcPr>
            <w:tcW w:w="2000" w:type="dxa"/>
          </w:tcPr>
          <w:p w14:paraId="3E2B0C31" w14:textId="77777777" w:rsidR="000B3A10" w:rsidRDefault="000B3A10" w:rsidP="00F3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AA</w:t>
            </w:r>
          </w:p>
          <w:p w14:paraId="147F9895" w14:textId="77777777" w:rsidR="000B3A10" w:rsidRPr="002661E7" w:rsidRDefault="000B3A10" w:rsidP="00F3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</w:tcPr>
          <w:p w14:paraId="7E0D4B5D" w14:textId="77777777" w:rsidR="000B3A10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F113AAD" w14:textId="77777777" w:rsidR="000B3A10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(3.2%)</w:t>
            </w:r>
          </w:p>
          <w:p w14:paraId="3304DD7C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CB1A155" w14:textId="77777777" w:rsidR="000B3A10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14:paraId="25871811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(5.0%)</w:t>
            </w:r>
          </w:p>
        </w:tc>
        <w:tc>
          <w:tcPr>
            <w:tcW w:w="1096" w:type="dxa"/>
            <w:vMerge/>
          </w:tcPr>
          <w:p w14:paraId="4AB30404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10" w:rsidRPr="002661E7" w14:paraId="28A57B6B" w14:textId="77777777" w:rsidTr="00F374E8">
        <w:tc>
          <w:tcPr>
            <w:tcW w:w="2000" w:type="dxa"/>
          </w:tcPr>
          <w:p w14:paraId="392A89F5" w14:textId="77777777" w:rsidR="000B3A10" w:rsidRDefault="000B3A10" w:rsidP="00F3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Minor allele frequency (T)</w:t>
            </w:r>
          </w:p>
          <w:p w14:paraId="2FFB3B52" w14:textId="77777777" w:rsidR="000B3A10" w:rsidRDefault="000B3A10" w:rsidP="00F3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</w:tcPr>
          <w:p w14:paraId="541F7EEC" w14:textId="77777777" w:rsidR="000B3A10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20.0%</w:t>
            </w:r>
          </w:p>
        </w:tc>
        <w:tc>
          <w:tcPr>
            <w:tcW w:w="2360" w:type="dxa"/>
          </w:tcPr>
          <w:p w14:paraId="5754FE2C" w14:textId="77777777" w:rsidR="000B3A10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22.0%</w:t>
            </w:r>
          </w:p>
        </w:tc>
        <w:tc>
          <w:tcPr>
            <w:tcW w:w="1096" w:type="dxa"/>
            <w:vMerge/>
          </w:tcPr>
          <w:p w14:paraId="72A7C109" w14:textId="77777777" w:rsidR="000B3A10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10" w:rsidRPr="002661E7" w14:paraId="7FA52B3C" w14:textId="77777777" w:rsidTr="00F374E8">
        <w:tc>
          <w:tcPr>
            <w:tcW w:w="8355" w:type="dxa"/>
            <w:gridSpan w:val="4"/>
          </w:tcPr>
          <w:p w14:paraId="6F7C892A" w14:textId="77777777" w:rsidR="000B3A10" w:rsidRDefault="000B3A10" w:rsidP="00F3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Dominant model</w:t>
            </w:r>
          </w:p>
          <w:p w14:paraId="17A71389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10" w:rsidRPr="002661E7" w14:paraId="700D1A55" w14:textId="77777777" w:rsidTr="00F374E8">
        <w:tc>
          <w:tcPr>
            <w:tcW w:w="2000" w:type="dxa"/>
          </w:tcPr>
          <w:p w14:paraId="7E788D09" w14:textId="77777777" w:rsidR="000B3A10" w:rsidRPr="002661E7" w:rsidRDefault="000B3A10" w:rsidP="00F3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  <w:r w:rsidRPr="0026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9" w:type="dxa"/>
          </w:tcPr>
          <w:p w14:paraId="71C7965E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14:paraId="10E076FB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7">
              <w:rPr>
                <w:rFonts w:ascii="Times New Roman" w:hAnsi="Times New Roman" w:cs="Times New Roman"/>
                <w:sz w:val="24"/>
                <w:szCs w:val="24"/>
              </w:rPr>
              <w:t>(62.4%)</w:t>
            </w:r>
          </w:p>
          <w:p w14:paraId="0E414524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9063444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  <w:p w14:paraId="7E100BC3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7">
              <w:rPr>
                <w:rFonts w:ascii="Times New Roman" w:hAnsi="Times New Roman" w:cs="Times New Roman"/>
                <w:sz w:val="24"/>
                <w:szCs w:val="24"/>
              </w:rPr>
              <w:t>(60.0%)</w:t>
            </w:r>
          </w:p>
          <w:p w14:paraId="48A029CE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14:paraId="4370A851" w14:textId="77777777" w:rsidR="000B3A10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5F528" w14:textId="77777777" w:rsidR="000B3A10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ACF2F" w14:textId="77777777" w:rsidR="000B3A10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AF4C7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7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0B3A10" w:rsidRPr="002661E7" w14:paraId="44FA71B2" w14:textId="77777777" w:rsidTr="00F374E8">
        <w:tc>
          <w:tcPr>
            <w:tcW w:w="2000" w:type="dxa"/>
          </w:tcPr>
          <w:p w14:paraId="41B816E1" w14:textId="77777777" w:rsidR="000B3A10" w:rsidRPr="002661E7" w:rsidRDefault="000B3A10" w:rsidP="00F3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AA</w:t>
            </w:r>
            <w:r w:rsidRPr="0026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9" w:type="dxa"/>
          </w:tcPr>
          <w:p w14:paraId="4E529413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14:paraId="51076AAD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7">
              <w:rPr>
                <w:rFonts w:ascii="Times New Roman" w:hAnsi="Times New Roman" w:cs="Times New Roman"/>
                <w:sz w:val="24"/>
                <w:szCs w:val="24"/>
              </w:rPr>
              <w:t>(37.6%)</w:t>
            </w:r>
          </w:p>
          <w:p w14:paraId="24945D85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6AD475A8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7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  <w:p w14:paraId="73B28CAA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E7">
              <w:rPr>
                <w:rFonts w:ascii="Times New Roman" w:hAnsi="Times New Roman" w:cs="Times New Roman"/>
                <w:sz w:val="24"/>
                <w:szCs w:val="24"/>
              </w:rPr>
              <w:t>(40.0%)</w:t>
            </w:r>
          </w:p>
          <w:p w14:paraId="23CB3F7C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14:paraId="474F36E9" w14:textId="77777777" w:rsidR="000B3A10" w:rsidRPr="002661E7" w:rsidRDefault="000B3A10" w:rsidP="00F3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88677" w14:textId="77777777" w:rsidR="000B3A10" w:rsidRDefault="000B3A10" w:rsidP="000B3A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B640A" w14:textId="77777777" w:rsidR="000B3A10" w:rsidRPr="006261DE" w:rsidRDefault="000B3A10" w:rsidP="000B3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 values from the Chi-square test for the differences in the genotype frequencies</w:t>
      </w:r>
    </w:p>
    <w:p w14:paraId="3468D1FE" w14:textId="77777777" w:rsidR="002E2E30" w:rsidRDefault="000B3A10"/>
    <w:sectPr w:rsidR="002E2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10"/>
    <w:rsid w:val="000B3A10"/>
    <w:rsid w:val="00387D91"/>
    <w:rsid w:val="0085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4C93"/>
  <w15:chartTrackingRefBased/>
  <w15:docId w15:val="{CBED6F5C-9AF5-4F19-9012-1B03EA2B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Vimal Karani</dc:creator>
  <cp:keywords/>
  <dc:description/>
  <cp:lastModifiedBy>Vimal Karani</cp:lastModifiedBy>
  <cp:revision>1</cp:revision>
  <dcterms:created xsi:type="dcterms:W3CDTF">2020-08-14T09:11:00Z</dcterms:created>
  <dcterms:modified xsi:type="dcterms:W3CDTF">2020-08-14T09:12:00Z</dcterms:modified>
</cp:coreProperties>
</file>