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B2" w:rsidRPr="00C14CB2" w:rsidRDefault="00C14CB2" w:rsidP="00C14CB2">
      <w:pPr>
        <w:keepNext/>
        <w:keepLines/>
        <w:tabs>
          <w:tab w:val="num" w:pos="0"/>
        </w:tabs>
        <w:suppressAutoHyphens/>
        <w:spacing w:before="480" w:after="120"/>
        <w:outlineLvl w:val="0"/>
        <w:rPr>
          <w:rFonts w:ascii="Calibri" w:eastAsia="Times New Roman" w:hAnsi="Calibri" w:cs="Calibri"/>
          <w:b/>
          <w:bCs/>
          <w:sz w:val="24"/>
          <w:szCs w:val="28"/>
          <w:lang w:val="en-US" w:eastAsia="zh-CN" w:bidi="en-US"/>
        </w:rPr>
      </w:pPr>
      <w:r>
        <w:rPr>
          <w:rFonts w:ascii="Calibri" w:eastAsia="Times New Roman" w:hAnsi="Calibri" w:cs="Calibri"/>
          <w:b/>
          <w:bCs/>
          <w:sz w:val="24"/>
          <w:szCs w:val="28"/>
          <w:lang w:val="en-US" w:eastAsia="zh-CN" w:bidi="en-US"/>
        </w:rPr>
        <w:t xml:space="preserve">S1 File. </w:t>
      </w:r>
      <w:r w:rsidRPr="00C14CB2">
        <w:rPr>
          <w:rFonts w:ascii="Calibri" w:eastAsia="Times New Roman" w:hAnsi="Calibri" w:cs="Calibri"/>
          <w:b/>
          <w:bCs/>
          <w:sz w:val="24"/>
          <w:szCs w:val="28"/>
          <w:lang w:val="en-US" w:eastAsia="zh-CN" w:bidi="en-US"/>
        </w:rPr>
        <w:t xml:space="preserve">The </w:t>
      </w:r>
      <w:proofErr w:type="spellStart"/>
      <w:r w:rsidRPr="00C14CB2">
        <w:rPr>
          <w:rFonts w:ascii="Calibri" w:eastAsia="Times New Roman" w:hAnsi="Calibri" w:cs="Calibri"/>
          <w:b/>
          <w:bCs/>
          <w:sz w:val="24"/>
          <w:szCs w:val="28"/>
          <w:lang w:val="en-US" w:eastAsia="zh-CN" w:bidi="en-US"/>
        </w:rPr>
        <w:t>GlobAgri-AgT</w:t>
      </w:r>
      <w:proofErr w:type="spellEnd"/>
      <w:r w:rsidRPr="00C14CB2">
        <w:rPr>
          <w:rFonts w:ascii="Calibri" w:eastAsia="Times New Roman" w:hAnsi="Calibri" w:cs="Calibri"/>
          <w:b/>
          <w:bCs/>
          <w:sz w:val="24"/>
          <w:szCs w:val="28"/>
          <w:lang w:val="en-US" w:eastAsia="zh-CN" w:bidi="en-US"/>
        </w:rPr>
        <w:t xml:space="preserve"> model</w:t>
      </w:r>
    </w:p>
    <w:p w:rsidR="00C14CB2" w:rsidRPr="00C14CB2" w:rsidRDefault="00C14CB2" w:rsidP="00C14CB2">
      <w:pPr>
        <w:spacing w:after="120"/>
        <w:rPr>
          <w:lang w:val="en-US" w:eastAsia="zh-CN" w:bidi="en-US"/>
        </w:rPr>
      </w:pPr>
      <w:r w:rsidRPr="00C14CB2">
        <w:rPr>
          <w:lang w:val="en-US" w:eastAsia="zh-CN" w:bidi="en-US"/>
        </w:rPr>
        <w:t>This section relies on chapter 3 (</w:t>
      </w:r>
      <w:proofErr w:type="spellStart"/>
      <w:r w:rsidRPr="00C14CB2">
        <w:rPr>
          <w:lang w:val="en-US" w:eastAsia="zh-CN" w:bidi="en-US"/>
        </w:rPr>
        <w:t>Globagri-AgT</w:t>
      </w:r>
      <w:proofErr w:type="spellEnd"/>
      <w:r w:rsidRPr="00C14CB2">
        <w:rPr>
          <w:lang w:val="en-US" w:eastAsia="zh-CN" w:bidi="en-US"/>
        </w:rPr>
        <w:t xml:space="preserve"> database and model) in Le </w:t>
      </w:r>
      <w:proofErr w:type="spellStart"/>
      <w:r w:rsidRPr="00C14CB2">
        <w:rPr>
          <w:lang w:val="en-US" w:eastAsia="zh-CN" w:bidi="en-US"/>
        </w:rPr>
        <w:t>Mouël</w:t>
      </w:r>
      <w:proofErr w:type="spellEnd"/>
      <w:r w:rsidRPr="00C14CB2">
        <w:rPr>
          <w:lang w:val="en-US" w:eastAsia="zh-CN" w:bidi="en-US"/>
        </w:rPr>
        <w:t xml:space="preserve"> et al. (2018).</w:t>
      </w:r>
    </w:p>
    <w:p w:rsidR="00C14CB2" w:rsidRPr="00C14CB2" w:rsidRDefault="00C14CB2" w:rsidP="00C14CB2">
      <w:pPr>
        <w:spacing w:after="120"/>
        <w:jc w:val="both"/>
        <w:rPr>
          <w:b/>
          <w:lang w:val="en-US" w:eastAsia="zh-CN" w:bidi="en-US"/>
        </w:rPr>
      </w:pPr>
      <w:r w:rsidRPr="00C14CB2">
        <w:rPr>
          <w:b/>
          <w:lang w:val="en-US" w:eastAsia="zh-CN" w:bidi="en-US"/>
        </w:rPr>
        <w:t>Model structure</w:t>
      </w:r>
    </w:p>
    <w:p w:rsidR="00C14CB2" w:rsidRPr="00C14CB2" w:rsidRDefault="00C14CB2" w:rsidP="00C14CB2">
      <w:pPr>
        <w:spacing w:after="120"/>
        <w:rPr>
          <w:lang w:val="en-US" w:eastAsia="zh-CN" w:bidi="en-US"/>
        </w:rPr>
      </w:pPr>
      <w:r w:rsidRPr="00C14CB2">
        <w:rPr>
          <w:lang w:val="en-US" w:eastAsia="zh-CN" w:bidi="en-US"/>
        </w:rPr>
        <w:t xml:space="preserve">The </w:t>
      </w:r>
      <w:proofErr w:type="spellStart"/>
      <w:r w:rsidRPr="00C14CB2">
        <w:rPr>
          <w:lang w:val="en-US" w:eastAsia="zh-CN" w:bidi="en-US"/>
        </w:rPr>
        <w:t>GlobAgri-AgT</w:t>
      </w:r>
      <w:proofErr w:type="spellEnd"/>
      <w:r w:rsidRPr="00C14CB2">
        <w:rPr>
          <w:lang w:val="en-US" w:eastAsia="zh-CN" w:bidi="en-US"/>
        </w:rPr>
        <w:t xml:space="preserve"> model conside</w:t>
      </w:r>
      <w:r w:rsidR="00292A5D">
        <w:rPr>
          <w:lang w:val="en-US" w:eastAsia="zh-CN" w:bidi="en-US"/>
        </w:rPr>
        <w:t xml:space="preserve">rs 38 </w:t>
      </w:r>
      <w:proofErr w:type="spellStart"/>
      <w:r w:rsidR="00292A5D">
        <w:rPr>
          <w:lang w:val="en-US" w:eastAsia="zh-CN" w:bidi="en-US"/>
        </w:rPr>
        <w:t>agri</w:t>
      </w:r>
      <w:proofErr w:type="spellEnd"/>
      <w:r w:rsidR="00292A5D">
        <w:rPr>
          <w:lang w:val="en-US" w:eastAsia="zh-CN" w:bidi="en-US"/>
        </w:rPr>
        <w:t xml:space="preserve">-food products (Table </w:t>
      </w:r>
      <w:r w:rsidRPr="00C14CB2">
        <w:rPr>
          <w:lang w:val="en-US" w:eastAsia="zh-CN" w:bidi="en-US"/>
        </w:rPr>
        <w:t>1) and 14 world regions (Tab</w:t>
      </w:r>
      <w:r w:rsidR="00292A5D">
        <w:rPr>
          <w:lang w:val="en-US" w:eastAsia="zh-CN" w:bidi="en-US"/>
        </w:rPr>
        <w:t xml:space="preserve">le </w:t>
      </w:r>
      <w:r w:rsidRPr="00C14CB2">
        <w:rPr>
          <w:lang w:val="en-US" w:eastAsia="zh-CN" w:bidi="en-US"/>
        </w:rPr>
        <w:t xml:space="preserve">2). </w:t>
      </w:r>
    </w:p>
    <w:p w:rsidR="00C14CB2" w:rsidRPr="00C14CB2" w:rsidRDefault="00C14CB2" w:rsidP="00C14CB2">
      <w:pPr>
        <w:spacing w:after="120"/>
        <w:rPr>
          <w:lang w:val="en-US" w:eastAsia="zh-CN" w:bidi="en-US"/>
        </w:rPr>
      </w:pPr>
      <w:r w:rsidRPr="00C14CB2">
        <w:rPr>
          <w:lang w:val="en-US" w:eastAsia="zh-CN" w:bidi="en-US"/>
        </w:rPr>
        <w:t xml:space="preserve">For each product </w:t>
      </w:r>
      <w:proofErr w:type="spellStart"/>
      <w:r w:rsidRPr="00C14CB2">
        <w:rPr>
          <w:i/>
          <w:lang w:val="en-US" w:eastAsia="zh-CN" w:bidi="en-US"/>
        </w:rPr>
        <w:t>i</w:t>
      </w:r>
      <w:proofErr w:type="spellEnd"/>
      <w:r w:rsidRPr="00C14CB2">
        <w:rPr>
          <w:lang w:val="en-US" w:eastAsia="zh-CN" w:bidi="en-US"/>
        </w:rPr>
        <w:t xml:space="preserve"> </w:t>
      </w:r>
      <w:r w:rsidRPr="00C14CB2">
        <w:rPr>
          <w:lang w:val="en-GB"/>
        </w:rPr>
        <w:t>(</w:t>
      </w:r>
      <m:oMath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en-US"/>
          </w:rPr>
          <m:t>∈</m:t>
        </m:r>
        <m:r>
          <w:rPr>
            <w:rFonts w:ascii="Cambria Math" w:hAnsi="Cambria Math"/>
          </w:rPr>
          <m:t>I</m:t>
        </m:r>
        <m:r>
          <w:rPr>
            <w:rFonts w:ascii="Cambria Math" w:hAnsi="Cambria Math"/>
            <w:lang w:val="en-US"/>
          </w:rPr>
          <m:t>)</m:t>
        </m:r>
      </m:oMath>
      <w:r w:rsidRPr="00C14CB2">
        <w:rPr>
          <w:lang w:val="en-US" w:eastAsia="zh-CN" w:bidi="en-US"/>
        </w:rPr>
        <w:t xml:space="preserve"> in each region </w:t>
      </w:r>
      <w:r w:rsidRPr="00C14CB2">
        <w:rPr>
          <w:i/>
          <w:lang w:val="en-US" w:eastAsia="zh-CN" w:bidi="en-US"/>
        </w:rPr>
        <w:t>j</w:t>
      </w:r>
      <w:r w:rsidRPr="00C14CB2">
        <w:rPr>
          <w:lang w:val="en-US" w:eastAsia="zh-CN" w:bidi="en-US"/>
        </w:rPr>
        <w:t xml:space="preserve">, at each period </w:t>
      </w:r>
      <w:r w:rsidRPr="00C14CB2">
        <w:rPr>
          <w:i/>
          <w:lang w:val="en-US" w:eastAsia="zh-CN" w:bidi="en-US"/>
        </w:rPr>
        <w:t>t</w:t>
      </w:r>
      <w:r w:rsidRPr="00C14CB2">
        <w:rPr>
          <w:lang w:val="en-US" w:eastAsia="zh-CN" w:bidi="en-US"/>
        </w:rPr>
        <w:t xml:space="preserve">, there is a resource-utilization balance equation: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Prod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Imp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US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Exp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Food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Feed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Ot</m:t>
            </m:r>
            <m:r>
              <w:rPr>
                <w:rFonts w:ascii="Cambria Math" w:hAnsi="Cambria Math"/>
                <w:lang w:val="en-US"/>
              </w:rPr>
              <m:t>h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Waste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VStock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</m:oMath>
    </w:p>
    <w:p w:rsidR="00C14CB2" w:rsidRPr="00C14CB2" w:rsidRDefault="00C14CB2" w:rsidP="00C14CB2">
      <w:pPr>
        <w:spacing w:after="120"/>
        <w:rPr>
          <w:lang w:val="en-US" w:eastAsia="zh-CN" w:bidi="en-US"/>
        </w:rPr>
      </w:pPr>
      <w:r w:rsidRPr="00C14CB2">
        <w:rPr>
          <w:lang w:val="en-GB"/>
        </w:rPr>
        <w:t xml:space="preserve">Where </w:t>
      </w:r>
      <w:r w:rsidRPr="00C14CB2">
        <w:rPr>
          <w:i/>
          <w:lang w:val="en-GB"/>
        </w:rPr>
        <w:t>Prod</w:t>
      </w:r>
      <w:r w:rsidRPr="00C14CB2">
        <w:rPr>
          <w:lang w:val="en-GB"/>
        </w:rPr>
        <w:t xml:space="preserve"> is the domestic production, </w:t>
      </w:r>
      <w:r w:rsidRPr="00C14CB2">
        <w:rPr>
          <w:i/>
          <w:lang w:val="en-GB"/>
        </w:rPr>
        <w:t>Imp</w:t>
      </w:r>
      <w:r w:rsidRPr="00C14CB2">
        <w:rPr>
          <w:lang w:val="en-GB"/>
        </w:rPr>
        <w:t xml:space="preserve"> imports, </w:t>
      </w:r>
      <w:proofErr w:type="spellStart"/>
      <w:r w:rsidRPr="00C14CB2">
        <w:rPr>
          <w:i/>
          <w:lang w:val="en-GB"/>
        </w:rPr>
        <w:t>Exp</w:t>
      </w:r>
      <w:proofErr w:type="spellEnd"/>
      <w:r w:rsidRPr="00C14CB2">
        <w:rPr>
          <w:lang w:val="en-GB"/>
        </w:rPr>
        <w:t xml:space="preserve"> exports, </w:t>
      </w:r>
      <w:r w:rsidRPr="00C14CB2">
        <w:rPr>
          <w:i/>
          <w:lang w:val="en-GB"/>
        </w:rPr>
        <w:t>Food</w:t>
      </w:r>
      <w:r w:rsidRPr="00C14CB2">
        <w:rPr>
          <w:lang w:val="en-GB"/>
        </w:rPr>
        <w:t xml:space="preserve"> the domestic food consumption, </w:t>
      </w:r>
      <w:r w:rsidRPr="00C14CB2">
        <w:rPr>
          <w:i/>
          <w:lang w:val="en-GB"/>
        </w:rPr>
        <w:t>Feed</w:t>
      </w:r>
      <w:r w:rsidRPr="00C14CB2">
        <w:rPr>
          <w:lang w:val="en-GB"/>
        </w:rPr>
        <w:t xml:space="preserve"> the domestic feed use, </w:t>
      </w:r>
      <w:proofErr w:type="spellStart"/>
      <w:r w:rsidRPr="00C14CB2">
        <w:rPr>
          <w:i/>
          <w:lang w:val="en-GB"/>
        </w:rPr>
        <w:t>Oth</w:t>
      </w:r>
      <w:proofErr w:type="spellEnd"/>
      <w:r w:rsidRPr="00C14CB2">
        <w:rPr>
          <w:lang w:val="en-GB"/>
        </w:rPr>
        <w:t xml:space="preserve"> the other domestic uses, </w:t>
      </w:r>
      <w:r w:rsidRPr="00C14CB2">
        <w:rPr>
          <w:i/>
          <w:lang w:val="en-GB"/>
        </w:rPr>
        <w:t>Waste</w:t>
      </w:r>
      <w:r w:rsidRPr="00C14CB2">
        <w:rPr>
          <w:lang w:val="en-GB"/>
        </w:rPr>
        <w:t xml:space="preserve"> the waste and </w:t>
      </w:r>
      <w:proofErr w:type="spellStart"/>
      <w:r w:rsidRPr="00C14CB2">
        <w:rPr>
          <w:i/>
          <w:lang w:val="en-GB"/>
        </w:rPr>
        <w:t>VStock</w:t>
      </w:r>
      <w:proofErr w:type="spellEnd"/>
      <w:r w:rsidRPr="00C14CB2">
        <w:rPr>
          <w:lang w:val="en-GB"/>
        </w:rPr>
        <w:t xml:space="preserve"> the stock change.</w:t>
      </w:r>
      <w:r w:rsidRPr="00C14CB2">
        <w:rPr>
          <w:lang w:val="en-US" w:eastAsia="zh-CN" w:bidi="en-US"/>
        </w:rPr>
        <w:t xml:space="preserve">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>For all vegetal products (</w:t>
      </w:r>
      <m:oMath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en-US"/>
          </w:rPr>
          <m:t>∈</m:t>
        </m:r>
        <m:r>
          <w:rPr>
            <w:rFonts w:ascii="Cambria Math" w:hAnsi="Cambria Math"/>
          </w:rPr>
          <m:t>I</m:t>
        </m:r>
      </m:oMath>
      <w:r w:rsidRPr="00C14CB2">
        <w:rPr>
          <w:lang w:val="en-GB"/>
        </w:rPr>
        <w:t>), domestic production equals harvested area (</w:t>
      </w:r>
      <w:r w:rsidRPr="00C14CB2">
        <w:rPr>
          <w:i/>
          <w:lang w:val="en-GB"/>
        </w:rPr>
        <w:t>A</w:t>
      </w:r>
      <w:r w:rsidRPr="00C14CB2">
        <w:rPr>
          <w:lang w:val="en-GB"/>
        </w:rPr>
        <w:t>) multiplied by per-hectare yield (</w:t>
      </w:r>
      <w:r w:rsidRPr="00C14CB2">
        <w:rPr>
          <w:i/>
          <w:lang w:val="en-GB"/>
        </w:rPr>
        <w:t>Y</w:t>
      </w:r>
      <w:r w:rsidRPr="00C14CB2">
        <w:rPr>
          <w:lang w:val="en-GB"/>
        </w:rPr>
        <w:t xml:space="preserve">):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Prod</m:t>
            </m:r>
          </m:e>
          <m:sub>
            <m:r>
              <w:rPr>
                <w:rFonts w:ascii="Cambria Math" w:hAnsi="Cambria Math"/>
              </w:rPr>
              <m:t>vjt</m:t>
            </m:r>
          </m:sub>
        </m:sSub>
        <m:r>
          <w:rPr>
            <w:rFonts w:ascii="Cambria Math" w:hAnsi="Cambria Math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vjt</m:t>
            </m:r>
          </m:sub>
        </m:sSub>
        <m:r>
          <w:rPr>
            <w:rFonts w:ascii="Cambria Math" w:hAnsi="Cambria Math"/>
            <w:lang w:val="en-US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vjt</m:t>
            </m:r>
          </m:sub>
        </m:sSub>
      </m:oMath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>For all products, the domestic feed use is a linear function of the domestic production of reference animal products (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∈</m:t>
        </m:r>
        <m:r>
          <w:rPr>
            <w:rFonts w:ascii="Cambria Math" w:hAnsi="Cambria Math"/>
          </w:rPr>
          <m:t>I</m:t>
        </m:r>
      </m:oMath>
      <w:r w:rsidRPr="00C14CB2">
        <w:rPr>
          <w:lang w:val="en-GB"/>
        </w:rPr>
        <w:t xml:space="preserve">):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Feed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US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β</m:t>
                </m:r>
              </m:e>
              <m:sub>
                <m:r>
                  <w:rPr>
                    <w:rFonts w:ascii="Cambria Math" w:hAnsi="Cambria Math"/>
                  </w:rPr>
                  <m:t>iajt</m:t>
                </m:r>
              </m:sub>
            </m:sSub>
            <m:r>
              <w:rPr>
                <w:rFonts w:ascii="Cambria Math" w:hAnsi="Cambria Math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Prod</m:t>
                </m:r>
              </m:e>
              <m:sub>
                <m:r>
                  <w:rPr>
                    <w:rFonts w:ascii="Cambria Math" w:hAnsi="Cambria Math"/>
                  </w:rPr>
                  <m:t>ajt</m:t>
                </m:r>
              </m:sub>
            </m:sSub>
          </m:e>
        </m:nary>
      </m:oMath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iajt</m:t>
            </m:r>
          </m:sub>
        </m:sSub>
      </m:oMath>
      <w:r w:rsidRPr="00C14CB2">
        <w:rPr>
          <w:lang w:val="en-GB"/>
        </w:rPr>
        <w:t xml:space="preserve"> is the fixed transformation coefficient of product </w:t>
      </w:r>
      <w:proofErr w:type="spellStart"/>
      <w:r w:rsidRPr="00C14CB2">
        <w:rPr>
          <w:i/>
          <w:lang w:val="en-GB"/>
        </w:rPr>
        <w:t>i</w:t>
      </w:r>
      <w:proofErr w:type="spellEnd"/>
      <w:r w:rsidRPr="00C14CB2">
        <w:rPr>
          <w:lang w:val="en-GB"/>
        </w:rPr>
        <w:t xml:space="preserve"> into animal product </w:t>
      </w:r>
      <w:proofErr w:type="spellStart"/>
      <w:r w:rsidRPr="00C14CB2">
        <w:rPr>
          <w:i/>
          <w:lang w:val="en-GB"/>
        </w:rPr>
        <w:t>a</w:t>
      </w:r>
      <w:proofErr w:type="spellEnd"/>
      <w:r w:rsidRPr="00C14CB2">
        <w:rPr>
          <w:lang w:val="en-GB"/>
        </w:rPr>
        <w:t xml:space="preserve"> in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for year </w:t>
      </w:r>
      <w:r w:rsidRPr="00C14CB2">
        <w:rPr>
          <w:i/>
          <w:lang w:val="en-GB"/>
        </w:rPr>
        <w:t xml:space="preserve">t </w:t>
      </w:r>
      <w:r w:rsidRPr="00C14CB2">
        <w:rPr>
          <w:lang w:val="en-GB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iajt</m:t>
            </m:r>
          </m:sub>
        </m:sSub>
      </m:oMath>
      <w:r w:rsidRPr="00C14CB2">
        <w:rPr>
          <w:lang w:val="en-GB"/>
        </w:rPr>
        <w:t xml:space="preserve"> are also called the feed-to-output ratios). For each animal product, they are a weighted average of the corresponding feed-to-output ratios observed in the various production systems co-existing in the sector concerned. For the five sectors under consideration (dairy, beef, small ruminants, pork and poultry), the various production systems are those suggested by Herrero </w:t>
      </w:r>
      <w:r w:rsidRPr="00C14CB2">
        <w:rPr>
          <w:i/>
          <w:lang w:val="en-GB"/>
        </w:rPr>
        <w:t>et al</w:t>
      </w:r>
      <w:r w:rsidRPr="00C14CB2">
        <w:rPr>
          <w:lang w:val="en-GB"/>
        </w:rPr>
        <w:t xml:space="preserve">. (2013): mixed, pastoral, urban and other systems for ruminant sectors and urban and other for non-ruminant sectors.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For all products </w:t>
      </w:r>
      <w:proofErr w:type="spellStart"/>
      <w:r w:rsidRPr="00C14CB2">
        <w:rPr>
          <w:i/>
          <w:lang w:val="en-GB"/>
        </w:rPr>
        <w:t>i</w:t>
      </w:r>
      <w:proofErr w:type="spellEnd"/>
      <w:r w:rsidRPr="00C14CB2">
        <w:rPr>
          <w:lang w:val="en-GB"/>
        </w:rPr>
        <w:t>, imports are a fixed share of total domestic use:</w:t>
      </w:r>
    </w:p>
    <w:p w:rsidR="00C14CB2" w:rsidRPr="00C14CB2" w:rsidRDefault="00C14CB2" w:rsidP="00C14CB2">
      <w:pPr>
        <w:spacing w:after="120"/>
        <w:rPr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Imp</m:t>
              </m:r>
            </m:e>
            <m:sub>
              <m:r>
                <w:rPr>
                  <w:rFonts w:ascii="Cambria Math" w:hAnsi="Cambria Math"/>
                </w:rPr>
                <m:t>ijt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ijt</m:t>
              </m:r>
            </m:sub>
          </m:sSub>
          <m:r>
            <w:rPr>
              <w:rFonts w:ascii="Cambria Math" w:hAnsi="Cambria Math"/>
            </w:rPr>
            <m:t>*(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Food</m:t>
              </m:r>
            </m:e>
            <m:sub>
              <m:r>
                <w:rPr>
                  <w:rFonts w:ascii="Cambria Math" w:hAnsi="Cambria Math"/>
                </w:rPr>
                <m:t>ijt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Feed</m:t>
              </m:r>
            </m:e>
            <m:sub>
              <m:r>
                <w:rPr>
                  <w:rFonts w:ascii="Cambria Math" w:hAnsi="Cambria Math"/>
                </w:rPr>
                <m:t>ijt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Oth</m:t>
              </m:r>
            </m:e>
            <m:sub>
              <m:r>
                <w:rPr>
                  <w:rFonts w:ascii="Cambria Math" w:hAnsi="Cambria Math"/>
                </w:rPr>
                <m:t>ijt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+Waste</m:t>
              </m:r>
            </m:e>
            <m:sub>
              <m:r>
                <w:rPr>
                  <w:rFonts w:ascii="Cambria Math" w:hAnsi="Cambria Math"/>
                </w:rPr>
                <m:t>ijt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VStock</m:t>
              </m:r>
            </m:e>
            <m:sub>
              <m:r>
                <w:rPr>
                  <w:rFonts w:ascii="Cambria Math" w:hAnsi="Cambria Math"/>
                </w:rPr>
                <m:t>ijt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</m:oMath>
      <w:r w:rsidRPr="00C14CB2">
        <w:rPr>
          <w:lang w:val="en-GB"/>
        </w:rPr>
        <w:t xml:space="preserve"> is the import dependence coefficient of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for product </w:t>
      </w:r>
      <w:proofErr w:type="spellStart"/>
      <w:r w:rsidRPr="00C14CB2">
        <w:rPr>
          <w:i/>
          <w:lang w:val="en-GB"/>
        </w:rPr>
        <w:t>i</w:t>
      </w:r>
      <w:proofErr w:type="spellEnd"/>
      <w:r w:rsidRPr="00C14CB2">
        <w:rPr>
          <w:lang w:val="en-GB"/>
        </w:rPr>
        <w:t xml:space="preserve"> in year </w:t>
      </w:r>
      <w:r w:rsidRPr="00C14CB2">
        <w:rPr>
          <w:i/>
          <w:lang w:val="en-GB"/>
        </w:rPr>
        <w:t>t</w:t>
      </w:r>
      <w:r w:rsidRPr="00C14CB2">
        <w:rPr>
          <w:lang w:val="en-GB"/>
        </w:rPr>
        <w:t xml:space="preserve">.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Exports of product </w:t>
      </w:r>
      <w:proofErr w:type="spellStart"/>
      <w:r w:rsidRPr="00C14CB2">
        <w:rPr>
          <w:i/>
          <w:lang w:val="en-GB"/>
        </w:rPr>
        <w:t>i</w:t>
      </w:r>
      <w:proofErr w:type="spellEnd"/>
      <w:r w:rsidRPr="00C14CB2">
        <w:rPr>
          <w:lang w:val="en-GB"/>
        </w:rPr>
        <w:t xml:space="preserve"> by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are a fixed share of the world market size of product </w:t>
      </w:r>
      <w:r w:rsidRPr="00C14CB2">
        <w:rPr>
          <w:i/>
          <w:lang w:val="en-GB"/>
        </w:rPr>
        <w:t>i</w:t>
      </w:r>
      <w:r w:rsidRPr="00C14CB2">
        <w:rPr>
          <w:lang w:val="en-GB"/>
        </w:rPr>
        <w:t>:</w:t>
      </w:r>
    </w:p>
    <w:p w:rsidR="00C14CB2" w:rsidRPr="00C14CB2" w:rsidRDefault="00C14CB2" w:rsidP="00C14CB2">
      <w:pPr>
        <w:spacing w:after="120"/>
        <w:rPr>
          <w:rFonts w:eastAsiaTheme="minorEastAsia"/>
          <w:lang w:val="en-GB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Exp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  <m:r>
          <w:rPr>
            <w:rFonts w:ascii="Cambria Math" w:hAnsi="Cambria Math"/>
            <w:lang w:val="en-GB"/>
          </w:rPr>
          <m:t>*(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Imp</m:t>
                </m:r>
              </m:e>
              <m:sub>
                <m:r>
                  <w:rPr>
                    <w:rFonts w:ascii="Cambria Math" w:hAnsi="Cambria Math"/>
                  </w:rPr>
                  <m:t>ijt</m:t>
                </m:r>
              </m:sub>
            </m:sSub>
          </m:e>
        </m:nary>
        <m:r>
          <w:rPr>
            <w:rFonts w:ascii="Cambria Math" w:hAnsi="Cambria Math"/>
            <w:lang w:val="en-GB"/>
          </w:rPr>
          <m:t>)</m:t>
        </m:r>
      </m:oMath>
      <w:r w:rsidRPr="00C14CB2">
        <w:rPr>
          <w:rFonts w:eastAsiaTheme="minorEastAsia"/>
          <w:lang w:val="en-GB"/>
        </w:rPr>
        <w:t xml:space="preserve"> 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Where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</m:oMath>
      <w:r w:rsidRPr="00C14CB2">
        <w:rPr>
          <w:lang w:val="en-GB"/>
        </w:rPr>
        <w:t xml:space="preserve"> is the world export market share of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for product </w:t>
      </w:r>
      <w:proofErr w:type="spellStart"/>
      <w:r w:rsidRPr="00C14CB2">
        <w:rPr>
          <w:i/>
          <w:lang w:val="en-GB"/>
        </w:rPr>
        <w:t>i</w:t>
      </w:r>
      <w:proofErr w:type="spellEnd"/>
      <w:r w:rsidRPr="00C14CB2">
        <w:rPr>
          <w:lang w:val="en-GB"/>
        </w:rPr>
        <w:t xml:space="preserve"> in year </w:t>
      </w:r>
      <w:r w:rsidRPr="00C14CB2">
        <w:rPr>
          <w:i/>
          <w:lang w:val="en-GB"/>
        </w:rPr>
        <w:t>t</w:t>
      </w:r>
      <w:r w:rsidRPr="00C14CB2">
        <w:rPr>
          <w:lang w:val="en-GB"/>
        </w:rPr>
        <w:t>.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Import and export specifications in </w:t>
      </w:r>
      <w:proofErr w:type="spellStart"/>
      <w:r w:rsidRPr="00C14CB2">
        <w:rPr>
          <w:lang w:val="en-GB"/>
        </w:rPr>
        <w:t>GlobAgri-AgT</w:t>
      </w:r>
      <w:proofErr w:type="spellEnd"/>
      <w:r w:rsidRPr="00C14CB2">
        <w:rPr>
          <w:lang w:val="en-GB"/>
        </w:rPr>
        <w:t xml:space="preserve"> imply some rigidity in international trade. However, import dependence coefficients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</m:oMath>
      <w:r w:rsidRPr="00C14CB2">
        <w:rPr>
          <w:lang w:val="en-GB"/>
        </w:rPr>
        <w:t>) and/or world export market shares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</m:oMath>
      <w:r w:rsidRPr="00C14CB2">
        <w:rPr>
          <w:lang w:val="en-GB"/>
        </w:rPr>
        <w:t xml:space="preserve">) may be changed exogenously as part of simulated scenarios (e.g. the ‘Regionalization’ scenario).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The model </w:t>
      </w:r>
      <w:proofErr w:type="gramStart"/>
      <w:r w:rsidRPr="00C14CB2">
        <w:rPr>
          <w:lang w:val="en-GB"/>
        </w:rPr>
        <w:t>is closed</w:t>
      </w:r>
      <w:proofErr w:type="gramEnd"/>
      <w:r w:rsidRPr="00C14CB2">
        <w:rPr>
          <w:lang w:val="en-GB"/>
        </w:rPr>
        <w:t xml:space="preserve"> firstly adding a world trade equilibrium equation for each product: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Imp</m:t>
                </m:r>
              </m:e>
              <m:sub>
                <m:r>
                  <w:rPr>
                    <w:rFonts w:ascii="Cambria Math" w:hAnsi="Cambria Math"/>
                  </w:rPr>
                  <m:t>ijt</m:t>
                </m:r>
              </m:sub>
            </m:sSub>
          </m:e>
        </m:nary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Exp</m:t>
                </m:r>
              </m:e>
              <m:sub>
                <m:r>
                  <w:rPr>
                    <w:rFonts w:ascii="Cambria Math" w:hAnsi="Cambria Math"/>
                  </w:rPr>
                  <m:t>ijt</m:t>
                </m:r>
              </m:sub>
            </m:sSub>
          </m:e>
        </m:nary>
      </m:oMath>
    </w:p>
    <w:p w:rsidR="00C14CB2" w:rsidRPr="00C14CB2" w:rsidRDefault="00C14CB2" w:rsidP="00C14CB2">
      <w:pPr>
        <w:spacing w:after="120"/>
        <w:rPr>
          <w:lang w:val="en-GB"/>
        </w:rPr>
      </w:pPr>
      <w:proofErr w:type="gramStart"/>
      <w:r w:rsidRPr="00C14CB2">
        <w:rPr>
          <w:lang w:val="en-GB"/>
        </w:rPr>
        <w:t>and</w:t>
      </w:r>
      <w:proofErr w:type="gramEnd"/>
      <w:r w:rsidRPr="00C14CB2">
        <w:rPr>
          <w:lang w:val="en-GB"/>
        </w:rPr>
        <w:t xml:space="preserve"> secondly adding an agricultural land constraint equation in each region: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v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Surf</m:t>
                </m:r>
              </m:e>
              <m:sub>
                <m:r>
                  <w:rPr>
                    <w:rFonts w:ascii="Cambria Math" w:hAnsi="Cambria Math"/>
                  </w:rPr>
                  <m:t>vjt</m:t>
                </m:r>
              </m:sub>
            </m:sSub>
          </m:e>
        </m:nary>
        <m:r>
          <w:rPr>
            <w:rFonts w:ascii="Cambria Math" w:hAnsi="Cambria Math"/>
            <w:lang w:val="en-US"/>
          </w:rPr>
          <m:t>≤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Surf</m:t>
                </m:r>
              </m:e>
              <m:sub>
                <m:r>
                  <w:rPr>
                    <w:rFonts w:ascii="Cambria Math" w:hAnsi="Cambria Math"/>
                  </w:rPr>
                  <m:t>jt</m:t>
                </m:r>
              </m:sub>
            </m:sSub>
          </m:e>
        </m:acc>
      </m:oMath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This agricultural land constraint may be defined for various sets of products </w:t>
      </w:r>
      <w:r w:rsidRPr="00C14CB2">
        <w:rPr>
          <w:i/>
          <w:lang w:val="en-GB"/>
        </w:rPr>
        <w:t>v</w:t>
      </w:r>
      <w:r w:rsidRPr="00C14CB2">
        <w:rPr>
          <w:lang w:val="en-GB"/>
        </w:rPr>
        <w:t xml:space="preserve"> so that the </w:t>
      </w:r>
      <w:r w:rsidRPr="00C14CB2">
        <w:rPr>
          <w:i/>
          <w:lang w:val="en-GB"/>
        </w:rPr>
        <w:t>Surf</w:t>
      </w:r>
      <w:r w:rsidRPr="00C14CB2">
        <w:rPr>
          <w:lang w:val="en-GB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Surf</m:t>
            </m:r>
          </m:e>
        </m:acc>
      </m:oMath>
      <w:r w:rsidRPr="00C14CB2">
        <w:rPr>
          <w:lang w:val="en-GB"/>
        </w:rPr>
        <w:t xml:space="preserve"> may have different meanings: cropland, pastureland or total agricultural land area for instance. In </w:t>
      </w:r>
      <w:proofErr w:type="spellStart"/>
      <w:r w:rsidRPr="00C14CB2">
        <w:rPr>
          <w:lang w:val="en-GB"/>
        </w:rPr>
        <w:t>GlobAgri-AgT</w:t>
      </w:r>
      <w:proofErr w:type="spellEnd"/>
      <w:r w:rsidRPr="00C14CB2">
        <w:rPr>
          <w:lang w:val="en-GB"/>
        </w:rPr>
        <w:t xml:space="preserve">, because of the lack of data regarding the maximum pastureland area in each region, we defined the agricultural land constraint on the cropland area. Hence,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Surf</m:t>
            </m:r>
          </m:e>
          <m:sub>
            <m:r>
              <w:rPr>
                <w:rFonts w:ascii="Cambria Math" w:hAnsi="Cambria Math"/>
              </w:rPr>
              <m:t>vjt</m:t>
            </m:r>
          </m:sub>
        </m:sSub>
      </m:oMath>
      <w:r w:rsidRPr="00C14CB2">
        <w:rPr>
          <w:lang w:val="en-GB"/>
        </w:rPr>
        <w:t xml:space="preserve"> is the cultivated area devoted to crop product </w:t>
      </w:r>
      <w:r w:rsidRPr="00C14CB2">
        <w:rPr>
          <w:i/>
          <w:lang w:val="en-GB"/>
        </w:rPr>
        <w:t>v</w:t>
      </w:r>
      <w:r w:rsidRPr="00C14CB2">
        <w:rPr>
          <w:lang w:val="en-GB"/>
        </w:rPr>
        <w:t xml:space="preserve"> in region </w:t>
      </w:r>
      <w:r w:rsidRPr="00C14CB2">
        <w:rPr>
          <w:i/>
          <w:lang w:val="en-GB"/>
        </w:rPr>
        <w:t xml:space="preserve">j </w:t>
      </w:r>
      <w:r w:rsidRPr="00C14CB2">
        <w:rPr>
          <w:lang w:val="en-GB"/>
        </w:rPr>
        <w:t>during year</w:t>
      </w:r>
      <w:r w:rsidRPr="00C14CB2">
        <w:rPr>
          <w:i/>
          <w:lang w:val="en-GB"/>
        </w:rPr>
        <w:t xml:space="preserve"> t</w:t>
      </w:r>
      <w:r w:rsidRPr="00C14CB2">
        <w:rPr>
          <w:lang w:val="en-GB"/>
        </w:rPr>
        <w:t xml:space="preserve"> and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Surf</m:t>
                </m:r>
              </m:e>
              <m:sub>
                <m:r>
                  <w:rPr>
                    <w:rFonts w:ascii="Cambria Math" w:hAnsi="Cambria Math"/>
                  </w:rPr>
                  <m:t>jt</m:t>
                </m:r>
              </m:sub>
            </m:sSub>
          </m:e>
        </m:acc>
      </m:oMath>
      <w:r w:rsidRPr="00C14CB2">
        <w:rPr>
          <w:lang w:val="en-GB"/>
        </w:rPr>
        <w:t xml:space="preserve">  is the maximum cultivable area </w:t>
      </w:r>
      <w:r w:rsidRPr="00C14CB2">
        <w:rPr>
          <w:lang w:val="en-GB"/>
        </w:rPr>
        <w:lastRenderedPageBreak/>
        <w:t xml:space="preserve">in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in year </w:t>
      </w:r>
      <w:r w:rsidRPr="00C14CB2">
        <w:rPr>
          <w:i/>
          <w:lang w:val="en-GB"/>
        </w:rPr>
        <w:t>t</w:t>
      </w:r>
      <w:r w:rsidRPr="00C14CB2">
        <w:rPr>
          <w:lang w:val="en-GB"/>
        </w:rPr>
        <w:t xml:space="preserve">. In other words, we assume that in each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, cropland is constrained by the maximum cultivable area while pastureland may adjust freely to all the shocks introduced into the model.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Finally, an additional equation is linking the total harvested area to the total cultivated area in each region: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v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Surf</m:t>
                </m:r>
              </m:e>
              <m:sub>
                <m:r>
                  <w:rPr>
                    <w:rFonts w:ascii="Cambria Math" w:hAnsi="Cambria Math"/>
                  </w:rPr>
                  <m:t>vjt</m:t>
                </m:r>
              </m:sub>
            </m:sSub>
          </m:e>
        </m:nary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jt</m:t>
            </m:r>
          </m:sub>
        </m:sSub>
        <m:r>
          <w:rPr>
            <w:rFonts w:ascii="Cambria Math" w:hAnsi="Cambria Math"/>
            <w:lang w:val="en-GB"/>
          </w:rPr>
          <m:t>*(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v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vjt</m:t>
                </m:r>
              </m:sub>
            </m:sSub>
            <m:r>
              <w:rPr>
                <w:rFonts w:ascii="Cambria Math" w:hAnsi="Cambria Math"/>
                <w:lang w:val="en-GB"/>
              </w:rPr>
              <m:t>)</m:t>
            </m:r>
          </m:e>
        </m:nary>
      </m:oMath>
      <w:r w:rsidRPr="00C14CB2">
        <w:rPr>
          <w:lang w:val="en-GB"/>
        </w:rPr>
        <w:t xml:space="preserve">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jt</m:t>
            </m:r>
          </m:sub>
        </m:sSub>
      </m:oMath>
      <w:r w:rsidRPr="00C14CB2">
        <w:rPr>
          <w:lang w:val="en-GB"/>
        </w:rPr>
        <w:t xml:space="preserve"> measures the level of cropping intensity in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for year </w:t>
      </w:r>
      <w:r w:rsidRPr="00C14CB2">
        <w:rPr>
          <w:i/>
          <w:lang w:val="en-GB"/>
        </w:rPr>
        <w:t>t</w:t>
      </w:r>
      <w:r w:rsidRPr="00C14CB2">
        <w:rPr>
          <w:lang w:val="en-GB"/>
        </w:rPr>
        <w:t>. This ratio is lower (greater) than one when the cultivated area is lower (greater) than the harvested area, indicating the extent of multi-cropping (the extent of fallow land or of harvest abandonment) in the concerned region.</w:t>
      </w:r>
    </w:p>
    <w:p w:rsidR="00C14CB2" w:rsidRPr="00C14CB2" w:rsidRDefault="00C14CB2" w:rsidP="00C14CB2">
      <w:pPr>
        <w:spacing w:after="120"/>
        <w:rPr>
          <w:b/>
          <w:lang w:val="en-GB"/>
        </w:rPr>
      </w:pPr>
      <w:r w:rsidRPr="00C14CB2">
        <w:rPr>
          <w:b/>
          <w:lang w:val="en-GB"/>
        </w:rPr>
        <w:t>Model solving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Starting from the initial 2007/09 situation, where domestic resources-utilizations and world trade are balanced for all products and the observed cropland area is lower or nearly equal to the maximum cultivable area in all regions, </w:t>
      </w:r>
      <w:proofErr w:type="gramStart"/>
      <w:r w:rsidRPr="00C14CB2">
        <w:rPr>
          <w:lang w:val="en-GB"/>
        </w:rPr>
        <w:t>let’s</w:t>
      </w:r>
      <w:proofErr w:type="gramEnd"/>
      <w:r w:rsidRPr="00C14CB2">
        <w:rPr>
          <w:lang w:val="en-GB"/>
        </w:rPr>
        <w:t xml:space="preserve"> assume that food consumption of product </w:t>
      </w:r>
      <w:proofErr w:type="spellStart"/>
      <w:r w:rsidRPr="00C14CB2">
        <w:rPr>
          <w:i/>
          <w:lang w:val="en-GB"/>
        </w:rPr>
        <w:t>i</w:t>
      </w:r>
      <w:proofErr w:type="spellEnd"/>
      <w:r w:rsidRPr="00C14CB2">
        <w:rPr>
          <w:lang w:val="en-GB"/>
        </w:rPr>
        <w:t xml:space="preserve"> increases in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.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According to </w:t>
      </w:r>
      <w:proofErr w:type="spellStart"/>
      <w:r w:rsidRPr="00C14CB2">
        <w:rPr>
          <w:lang w:val="en-GB"/>
        </w:rPr>
        <w:t>GlobAgri-AgT</w:t>
      </w:r>
      <w:proofErr w:type="spellEnd"/>
      <w:r w:rsidRPr="00C14CB2">
        <w:rPr>
          <w:lang w:val="en-GB"/>
        </w:rPr>
        <w:t xml:space="preserve"> specification,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covers these additional needs partly by rising imports and partly by expanding domestic production. This results in an expansion of cropland and, possibly, pastureland areas in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>:</w:t>
      </w:r>
    </w:p>
    <w:p w:rsidR="00C14CB2" w:rsidRPr="00C14CB2" w:rsidRDefault="00C14CB2" w:rsidP="00C14CB2">
      <w:pPr>
        <w:numPr>
          <w:ilvl w:val="0"/>
          <w:numId w:val="1"/>
        </w:numPr>
        <w:spacing w:after="120"/>
        <w:ind w:left="714" w:hanging="357"/>
        <w:rPr>
          <w:lang w:val="en-GB"/>
        </w:rPr>
      </w:pPr>
      <w:r w:rsidRPr="00C14CB2">
        <w:rPr>
          <w:lang w:val="en-GB"/>
        </w:rPr>
        <w:t xml:space="preserve">If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’s cropland area remains lower than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>’s maximum cultivable area, then the resolution of the model stops;</w:t>
      </w:r>
    </w:p>
    <w:p w:rsidR="00C14CB2" w:rsidRPr="00C14CB2" w:rsidRDefault="00C14CB2" w:rsidP="00C14CB2">
      <w:pPr>
        <w:numPr>
          <w:ilvl w:val="0"/>
          <w:numId w:val="1"/>
        </w:numPr>
        <w:spacing w:after="120"/>
        <w:ind w:left="714" w:hanging="357"/>
        <w:rPr>
          <w:lang w:val="en-GB"/>
        </w:rPr>
      </w:pPr>
      <w:r w:rsidRPr="00C14CB2">
        <w:rPr>
          <w:lang w:val="en-GB"/>
        </w:rPr>
        <w:t xml:space="preserve">If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’s cropland area becomes greater than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>’s maximum cultivable area, then two stages are considered:</w:t>
      </w:r>
    </w:p>
    <w:p w:rsidR="00C14CB2" w:rsidRPr="00C14CB2" w:rsidRDefault="00C14CB2" w:rsidP="00C14CB2">
      <w:pPr>
        <w:numPr>
          <w:ilvl w:val="0"/>
          <w:numId w:val="2"/>
        </w:numPr>
        <w:spacing w:after="120"/>
        <w:ind w:left="1775" w:hanging="357"/>
        <w:rPr>
          <w:lang w:val="en-GB"/>
        </w:rPr>
      </w:pPr>
      <w:proofErr w:type="gramStart"/>
      <w:r w:rsidRPr="00C14CB2">
        <w:rPr>
          <w:lang w:val="en-GB"/>
        </w:rPr>
        <w:t>region</w:t>
      </w:r>
      <w:proofErr w:type="gramEnd"/>
      <w:r w:rsidRPr="00C14CB2">
        <w:rPr>
          <w:lang w:val="en-GB"/>
        </w:rPr>
        <w:t xml:space="preserve">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’s exports are first evenly reduced (through </w:t>
      </w:r>
      <w:proofErr w:type="spellStart"/>
      <w:r w:rsidRPr="00C14CB2">
        <w:rPr>
          <w:lang w:val="en-GB"/>
        </w:rPr>
        <w:t>equi</w:t>
      </w:r>
      <w:proofErr w:type="spellEnd"/>
      <w:r w:rsidRPr="00C14CB2">
        <w:rPr>
          <w:lang w:val="en-GB"/>
        </w:rPr>
        <w:t xml:space="preserve">-proportional decrease in its world export market shares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</m:oMath>
      <w:r w:rsidRPr="00C14CB2">
        <w:rPr>
          <w:lang w:val="en-GB"/>
        </w:rPr>
        <w:t xml:space="preserve"> ) until the domestic cropland area falls below the maximum cultivable area. At this stage, the resolution of the model stops;</w:t>
      </w:r>
    </w:p>
    <w:p w:rsidR="00C14CB2" w:rsidRPr="00C14CB2" w:rsidRDefault="00C14CB2" w:rsidP="00C14CB2">
      <w:pPr>
        <w:numPr>
          <w:ilvl w:val="0"/>
          <w:numId w:val="2"/>
        </w:numPr>
        <w:spacing w:after="120"/>
        <w:ind w:left="1775" w:hanging="357"/>
        <w:rPr>
          <w:lang w:val="en-GB"/>
        </w:rPr>
      </w:pPr>
      <w:proofErr w:type="gramStart"/>
      <w:r w:rsidRPr="00C14CB2">
        <w:rPr>
          <w:lang w:val="en-GB"/>
        </w:rPr>
        <w:t>if</w:t>
      </w:r>
      <w:proofErr w:type="gramEnd"/>
      <w:r w:rsidRPr="00C14CB2">
        <w:rPr>
          <w:lang w:val="en-GB"/>
        </w:rPr>
        <w:t xml:space="preserve">, even with zero exports,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still needs more cropland area than its maximum cultivable area, then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starts increasing its imports (through increases in import dependence coefficients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ijt</m:t>
            </m:r>
          </m:sub>
        </m:sSub>
      </m:oMath>
      <w:r w:rsidRPr="00C14CB2">
        <w:rPr>
          <w:lang w:val="en-GB"/>
        </w:rPr>
        <w:t xml:space="preserve">). In other words, region </w:t>
      </w:r>
      <w:r w:rsidRPr="00C14CB2">
        <w:rPr>
          <w:i/>
          <w:lang w:val="en-GB"/>
        </w:rPr>
        <w:t>j</w:t>
      </w:r>
      <w:r w:rsidRPr="00C14CB2">
        <w:rPr>
          <w:lang w:val="en-GB"/>
        </w:rPr>
        <w:t xml:space="preserve"> increases the share of its food needs, which </w:t>
      </w:r>
      <w:proofErr w:type="gramStart"/>
      <w:r w:rsidRPr="00C14CB2">
        <w:rPr>
          <w:lang w:val="en-GB"/>
        </w:rPr>
        <w:t>is covered</w:t>
      </w:r>
      <w:proofErr w:type="gramEnd"/>
      <w:r w:rsidRPr="00C14CB2">
        <w:rPr>
          <w:lang w:val="en-GB"/>
        </w:rPr>
        <w:t xml:space="preserve"> by imports in order to reduce the required rise in domestic production and save some cropland area. </w:t>
      </w:r>
    </w:p>
    <w:p w:rsidR="00C14CB2" w:rsidRPr="00C14CB2" w:rsidRDefault="00C14CB2" w:rsidP="00C14CB2">
      <w:pPr>
        <w:spacing w:after="120"/>
        <w:rPr>
          <w:lang w:val="en-GB"/>
        </w:rPr>
      </w:pPr>
      <w:r w:rsidRPr="00C14CB2">
        <w:rPr>
          <w:lang w:val="en-GB"/>
        </w:rPr>
        <w:t xml:space="preserve">Therefore, in this last case, the </w:t>
      </w:r>
      <w:proofErr w:type="gramStart"/>
      <w:r w:rsidRPr="00C14CB2">
        <w:rPr>
          <w:lang w:val="en-GB"/>
        </w:rPr>
        <w:t>world export market shares</w:t>
      </w:r>
      <w:proofErr w:type="gramEnd"/>
      <w:r w:rsidRPr="00C14CB2">
        <w:rPr>
          <w:lang w:val="en-GB"/>
        </w:rPr>
        <w:t xml:space="preserve"> and import dependence coefficients of land-constrained regions become endogenous.</w:t>
      </w:r>
    </w:p>
    <w:p w:rsidR="00C14CB2" w:rsidRPr="00C14CB2" w:rsidRDefault="00C14CB2" w:rsidP="00C14CB2">
      <w:pPr>
        <w:spacing w:after="0"/>
        <w:rPr>
          <w:lang w:val="en-GB"/>
        </w:rPr>
      </w:pPr>
      <w:r w:rsidRPr="00C14CB2">
        <w:rPr>
          <w:b/>
          <w:lang w:val="en-GB"/>
        </w:rPr>
        <w:t xml:space="preserve">Table 1. </w:t>
      </w:r>
      <w:proofErr w:type="spellStart"/>
      <w:r w:rsidRPr="00C14CB2">
        <w:rPr>
          <w:b/>
          <w:lang w:val="en-GB"/>
        </w:rPr>
        <w:t>Agri</w:t>
      </w:r>
      <w:proofErr w:type="spellEnd"/>
      <w:r w:rsidRPr="00C14CB2">
        <w:rPr>
          <w:b/>
          <w:lang w:val="en-GB"/>
        </w:rPr>
        <w:t xml:space="preserve">-food aggregates in </w:t>
      </w:r>
      <w:proofErr w:type="spellStart"/>
      <w:r w:rsidRPr="00C14CB2">
        <w:rPr>
          <w:b/>
          <w:lang w:val="en-GB"/>
        </w:rPr>
        <w:t>GlobAgri-AgT</w:t>
      </w:r>
      <w:proofErr w:type="spellEnd"/>
    </w:p>
    <w:tbl>
      <w:tblPr>
        <w:tblW w:w="91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3193"/>
      </w:tblGrid>
      <w:tr w:rsidR="00C14CB2" w:rsidRPr="00C14CB2" w:rsidTr="002F03AB">
        <w:trPr>
          <w:trHeight w:val="30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Aquatic animals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Bovine meat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Dairy</w:t>
            </w:r>
          </w:p>
          <w:p w:rsidR="00C14CB2" w:rsidRPr="00C14CB2" w:rsidRDefault="00C14CB2" w:rsidP="00C1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Eggs</w:t>
            </w:r>
          </w:p>
          <w:p w:rsidR="00C14CB2" w:rsidRPr="00C14CB2" w:rsidRDefault="00C14CB2" w:rsidP="00C1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Pork meat</w:t>
            </w:r>
          </w:p>
          <w:p w:rsidR="00C14CB2" w:rsidRPr="00C14CB2" w:rsidRDefault="00C14CB2" w:rsidP="00C14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Poultry meat</w:t>
            </w:r>
          </w:p>
          <w:p w:rsidR="00C14CB2" w:rsidRPr="00C14CB2" w:rsidRDefault="00C14CB2" w:rsidP="00C14CB2">
            <w:pPr>
              <w:tabs>
                <w:tab w:val="decimal" w:pos="10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Small ruminant meat</w:t>
            </w:r>
          </w:p>
          <w:p w:rsidR="00C14CB2" w:rsidRPr="00C14CB2" w:rsidRDefault="00C14CB2" w:rsidP="00C14CB2">
            <w:pPr>
              <w:tabs>
                <w:tab w:val="decimal" w:pos="1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hideMark/>
          </w:tcPr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Fibres etc.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 xml:space="preserve">Fruit and </w:t>
            </w:r>
            <w:proofErr w:type="spellStart"/>
            <w:r w:rsidRPr="00C14CB2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vegetables</w:t>
            </w:r>
            <w:proofErr w:type="spellEnd"/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t>Pulses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Roots and tubers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Maize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Other cereals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Rice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Wheat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Sugar plants and products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Other products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CB2" w:rsidRPr="00C14CB2" w:rsidRDefault="00C14CB2" w:rsidP="00C14CB2">
            <w:pPr>
              <w:tabs>
                <w:tab w:val="decimal" w:pos="1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Other </w:t>
            </w:r>
            <w:proofErr w:type="spellStart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oilcrops</w:t>
            </w:r>
            <w:proofErr w:type="spellEnd"/>
          </w:p>
          <w:p w:rsidR="00C14CB2" w:rsidRPr="00C14CB2" w:rsidRDefault="00C14CB2" w:rsidP="00C14CB2">
            <w:pPr>
              <w:tabs>
                <w:tab w:val="decimal" w:pos="1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Cake other </w:t>
            </w:r>
            <w:proofErr w:type="spellStart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oilcrops</w:t>
            </w:r>
            <w:proofErr w:type="spellEnd"/>
          </w:p>
          <w:p w:rsidR="00C14CB2" w:rsidRPr="00C14CB2" w:rsidRDefault="00C14CB2" w:rsidP="00C14CB2">
            <w:pPr>
              <w:tabs>
                <w:tab w:val="decimal" w:pos="1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Oil other </w:t>
            </w:r>
            <w:proofErr w:type="spellStart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oilcrops</w:t>
            </w:r>
            <w:proofErr w:type="spellEnd"/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Oilpalm</w:t>
            </w:r>
            <w:proofErr w:type="spellEnd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fruit</w:t>
            </w:r>
          </w:p>
          <w:p w:rsidR="00C14CB2" w:rsidRPr="00C14CB2" w:rsidRDefault="00C14CB2" w:rsidP="00C14CB2">
            <w:pPr>
              <w:tabs>
                <w:tab w:val="decimal" w:pos="1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Palm product oil</w:t>
            </w:r>
          </w:p>
          <w:p w:rsidR="00C14CB2" w:rsidRPr="00C14CB2" w:rsidRDefault="00C14CB2" w:rsidP="00C14CB2">
            <w:pPr>
              <w:tabs>
                <w:tab w:val="decimal" w:pos="1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Palm kernel cake</w:t>
            </w:r>
          </w:p>
          <w:p w:rsidR="00C14CB2" w:rsidRPr="00C14CB2" w:rsidRDefault="00C14CB2" w:rsidP="00C14CB2">
            <w:pPr>
              <w:tabs>
                <w:tab w:val="decimal" w:pos="10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Rape and mustard seeds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Rape and mustard cake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Rape and mustard oil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Soyabeans</w:t>
            </w:r>
            <w:proofErr w:type="spellEnd"/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Soyabean</w:t>
            </w:r>
            <w:proofErr w:type="spellEnd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cake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proofErr w:type="spellStart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Soyabean</w:t>
            </w:r>
            <w:proofErr w:type="spellEnd"/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 oil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Sunflower seeds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Sunflower seed cake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Sunflower seed oil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Grass (grass from direct grazing and as silage of permanent pastures)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Grass-like forages (mixed grass and ryegrass from temporary pastures)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Other forages (alfalfa and fodder crops: beats, vegetables, sorghum, maize etc.)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>Occasional feeds (food leftovers, cut-and-carry forages and legumes, roadside grasses)</w:t>
            </w: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</w:p>
          <w:p w:rsidR="00C14CB2" w:rsidRPr="00C14CB2" w:rsidRDefault="00C14CB2" w:rsidP="00C14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 w:eastAsia="fr-FR"/>
              </w:rPr>
              <w:t xml:space="preserve">Stover (crop residues) </w:t>
            </w:r>
          </w:p>
        </w:tc>
      </w:tr>
    </w:tbl>
    <w:p w:rsidR="00C14CB2" w:rsidRPr="00C14CB2" w:rsidRDefault="00C14CB2" w:rsidP="00C14CB2">
      <w:pPr>
        <w:spacing w:after="0" w:line="276" w:lineRule="auto"/>
        <w:rPr>
          <w:b/>
          <w:lang w:val="en-GB"/>
        </w:rPr>
      </w:pPr>
    </w:p>
    <w:p w:rsidR="00C14CB2" w:rsidRPr="00C14CB2" w:rsidRDefault="00C14CB2" w:rsidP="00C14CB2">
      <w:pPr>
        <w:spacing w:after="0" w:line="276" w:lineRule="auto"/>
        <w:rPr>
          <w:b/>
          <w:lang w:val="en-GB"/>
        </w:rPr>
      </w:pPr>
      <w:r w:rsidRPr="00C14CB2">
        <w:rPr>
          <w:b/>
          <w:lang w:val="en-GB"/>
        </w:rPr>
        <w:lastRenderedPageBreak/>
        <w:t xml:space="preserve">Table 2. Broad geographic regions in </w:t>
      </w:r>
      <w:proofErr w:type="spellStart"/>
      <w:r w:rsidRPr="00C14CB2">
        <w:rPr>
          <w:b/>
          <w:lang w:val="en-GB"/>
        </w:rPr>
        <w:t>GlobAgri-AgT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961"/>
        <w:gridCol w:w="2220"/>
        <w:gridCol w:w="2805"/>
      </w:tblGrid>
      <w:tr w:rsidR="00C14CB2" w:rsidRPr="00C14CB2" w:rsidTr="002F03AB">
        <w:tc>
          <w:tcPr>
            <w:tcW w:w="2076" w:type="dxa"/>
          </w:tcPr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Brazil/Argentina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Rest of America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Rest of the world</w:t>
            </w:r>
          </w:p>
        </w:tc>
        <w:tc>
          <w:tcPr>
            <w:tcW w:w="1961" w:type="dxa"/>
          </w:tcPr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Canada/USA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EU-27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Oceania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Former Soviet Union</w:t>
            </w:r>
          </w:p>
        </w:tc>
        <w:tc>
          <w:tcPr>
            <w:tcW w:w="2220" w:type="dxa"/>
          </w:tcPr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China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India 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Rest of Asia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Near and Middle East</w:t>
            </w:r>
          </w:p>
        </w:tc>
        <w:tc>
          <w:tcPr>
            <w:tcW w:w="2805" w:type="dxa"/>
          </w:tcPr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North Africa 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West Africa</w:t>
            </w:r>
          </w:p>
          <w:p w:rsidR="00C14CB2" w:rsidRPr="00C14CB2" w:rsidRDefault="00C14CB2" w:rsidP="00C14CB2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4CB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East, Central and Southern (ECS) Africa</w:t>
            </w:r>
          </w:p>
        </w:tc>
      </w:tr>
    </w:tbl>
    <w:p w:rsidR="00C14CB2" w:rsidRPr="00292A5D" w:rsidRDefault="00C14CB2" w:rsidP="00292A5D">
      <w:pPr>
        <w:jc w:val="both"/>
        <w:rPr>
          <w:rFonts w:cstheme="minorHAnsi"/>
        </w:rPr>
      </w:pPr>
    </w:p>
    <w:p w:rsidR="00292A5D" w:rsidRPr="00292A5D" w:rsidRDefault="00292A5D" w:rsidP="00292A5D">
      <w:pPr>
        <w:jc w:val="both"/>
        <w:rPr>
          <w:rFonts w:cstheme="minorHAnsi"/>
          <w:b/>
          <w:lang w:val="en-US"/>
        </w:rPr>
      </w:pPr>
      <w:r w:rsidRPr="00292A5D">
        <w:rPr>
          <w:rFonts w:cstheme="minorHAnsi"/>
          <w:b/>
          <w:lang w:val="en-US"/>
        </w:rPr>
        <w:t>References</w:t>
      </w:r>
    </w:p>
    <w:p w:rsidR="00292A5D" w:rsidRPr="00292A5D" w:rsidRDefault="00292A5D" w:rsidP="00292A5D">
      <w:pPr>
        <w:jc w:val="both"/>
        <w:rPr>
          <w:rFonts w:cstheme="minorHAnsi"/>
          <w:lang w:val="en-US"/>
        </w:rPr>
      </w:pPr>
      <w:r w:rsidRPr="00292A5D">
        <w:rPr>
          <w:rFonts w:cstheme="minorHAnsi"/>
          <w:lang w:val="en-US"/>
        </w:rPr>
        <w:t xml:space="preserve">Herrero M, </w:t>
      </w:r>
      <w:proofErr w:type="spellStart"/>
      <w:r w:rsidRPr="00292A5D">
        <w:rPr>
          <w:rFonts w:cstheme="minorHAnsi"/>
          <w:lang w:val="en-US"/>
        </w:rPr>
        <w:t>Havlik</w:t>
      </w:r>
      <w:proofErr w:type="spellEnd"/>
      <w:r w:rsidRPr="00292A5D">
        <w:rPr>
          <w:rFonts w:cstheme="minorHAnsi"/>
          <w:lang w:val="en-US"/>
        </w:rPr>
        <w:t xml:space="preserve"> P, </w:t>
      </w:r>
      <w:proofErr w:type="spellStart"/>
      <w:r w:rsidRPr="00292A5D">
        <w:rPr>
          <w:rFonts w:cstheme="minorHAnsi"/>
          <w:lang w:val="en-US"/>
        </w:rPr>
        <w:t>Valin</w:t>
      </w:r>
      <w:proofErr w:type="spellEnd"/>
      <w:r w:rsidRPr="00292A5D">
        <w:rPr>
          <w:rFonts w:cstheme="minorHAnsi"/>
          <w:lang w:val="en-US"/>
        </w:rPr>
        <w:t xml:space="preserve"> H, </w:t>
      </w:r>
      <w:proofErr w:type="spellStart"/>
      <w:r w:rsidRPr="00292A5D">
        <w:rPr>
          <w:rFonts w:cstheme="minorHAnsi"/>
          <w:lang w:val="en-US"/>
        </w:rPr>
        <w:t>Notenbaret</w:t>
      </w:r>
      <w:proofErr w:type="spellEnd"/>
      <w:r w:rsidRPr="00292A5D">
        <w:rPr>
          <w:rFonts w:cstheme="minorHAnsi"/>
          <w:lang w:val="en-US"/>
        </w:rPr>
        <w:t xml:space="preserve"> A, </w:t>
      </w:r>
      <w:proofErr w:type="spellStart"/>
      <w:r w:rsidRPr="00292A5D">
        <w:rPr>
          <w:rFonts w:cstheme="minorHAnsi"/>
          <w:lang w:val="en-US"/>
        </w:rPr>
        <w:t>Rufino</w:t>
      </w:r>
      <w:proofErr w:type="spellEnd"/>
      <w:r w:rsidRPr="00292A5D">
        <w:rPr>
          <w:rFonts w:cstheme="minorHAnsi"/>
          <w:lang w:val="en-US"/>
        </w:rPr>
        <w:t xml:space="preserve"> MC, Thornton PK, </w:t>
      </w:r>
      <w:proofErr w:type="spellStart"/>
      <w:r w:rsidRPr="00292A5D">
        <w:rPr>
          <w:rFonts w:cstheme="minorHAnsi"/>
          <w:lang w:val="en-US"/>
        </w:rPr>
        <w:t>Blümmel</w:t>
      </w:r>
      <w:proofErr w:type="spellEnd"/>
      <w:r w:rsidRPr="00292A5D">
        <w:rPr>
          <w:rFonts w:cstheme="minorHAnsi"/>
          <w:lang w:val="en-US"/>
        </w:rPr>
        <w:t xml:space="preserve"> M, Weiss F, Grace D, </w:t>
      </w:r>
      <w:proofErr w:type="spellStart"/>
      <w:r w:rsidRPr="00292A5D">
        <w:rPr>
          <w:rFonts w:cstheme="minorHAnsi"/>
          <w:lang w:val="en-US"/>
        </w:rPr>
        <w:t>Obersteiner</w:t>
      </w:r>
      <w:proofErr w:type="spellEnd"/>
      <w:r w:rsidRPr="00292A5D">
        <w:rPr>
          <w:rFonts w:cstheme="minorHAnsi"/>
          <w:lang w:val="en-US"/>
        </w:rPr>
        <w:t xml:space="preserve"> M. Biomass use, production, feed efficiencies, and greenhouse gas emissions from global livestock systems. PNAS 2013; 110(52): 20 888-20 893.</w:t>
      </w:r>
      <w:bookmarkStart w:id="0" w:name="_GoBack"/>
      <w:bookmarkEnd w:id="0"/>
    </w:p>
    <w:sectPr w:rsidR="00292A5D" w:rsidRPr="00292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49FC"/>
    <w:multiLevelType w:val="hybridMultilevel"/>
    <w:tmpl w:val="6E10EC68"/>
    <w:lvl w:ilvl="0" w:tplc="9E6629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EA2D8C"/>
    <w:multiLevelType w:val="hybridMultilevel"/>
    <w:tmpl w:val="28A22F80"/>
    <w:lvl w:ilvl="0" w:tplc="D59657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2"/>
    <w:rsid w:val="00191BEC"/>
    <w:rsid w:val="00292A5D"/>
    <w:rsid w:val="00355496"/>
    <w:rsid w:val="00574534"/>
    <w:rsid w:val="006A6592"/>
    <w:rsid w:val="00AF4A99"/>
    <w:rsid w:val="00C1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EDBC"/>
  <w15:chartTrackingRefBased/>
  <w15:docId w15:val="{843583E7-6A4E-411C-86A1-BBA67363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1064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Mora</dc:creator>
  <cp:keywords/>
  <dc:description/>
  <cp:lastModifiedBy>Olivier Mora</cp:lastModifiedBy>
  <cp:revision>5</cp:revision>
  <dcterms:created xsi:type="dcterms:W3CDTF">2020-01-17T10:50:00Z</dcterms:created>
  <dcterms:modified xsi:type="dcterms:W3CDTF">2020-01-17T11:15:00Z</dcterms:modified>
</cp:coreProperties>
</file>