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15" w:rsidRDefault="002077B7" w:rsidP="00CF6415">
      <w:pPr>
        <w:pStyle w:val="Caption"/>
        <w:keepNext/>
      </w:pPr>
      <w:r>
        <w:t>S3</w:t>
      </w:r>
      <w:r w:rsidR="00CF6415">
        <w:t xml:space="preserve"> </w:t>
      </w:r>
      <w:r w:rsidR="00C6144D">
        <w:t xml:space="preserve">Table </w:t>
      </w:r>
      <w:r w:rsidR="00CF6415" w:rsidRPr="00DB3663">
        <w:t>Characteristics of studies excluded from results synthesis (n=11)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"/>
        <w:gridCol w:w="881"/>
        <w:gridCol w:w="1111"/>
        <w:gridCol w:w="981"/>
        <w:gridCol w:w="1168"/>
        <w:gridCol w:w="1252"/>
        <w:gridCol w:w="1253"/>
        <w:gridCol w:w="1015"/>
        <w:gridCol w:w="647"/>
        <w:gridCol w:w="616"/>
        <w:gridCol w:w="622"/>
        <w:gridCol w:w="746"/>
        <w:gridCol w:w="617"/>
        <w:gridCol w:w="496"/>
        <w:gridCol w:w="898"/>
        <w:gridCol w:w="974"/>
      </w:tblGrid>
      <w:tr w:rsidR="00CF6415" w:rsidRPr="00C01AF2" w:rsidTr="00D23F49">
        <w:trPr>
          <w:trHeight w:val="165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Author and Year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 xml:space="preserve">Country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Population and site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 xml:space="preserve">Study design, sampling </w:t>
            </w: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br/>
              <w:t>(n)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Relevant outcomes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Relevant outcome(s) measured but not reported by employment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Covariates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Exposure and comparator(s)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Participants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Age range, years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Comments</w:t>
            </w:r>
          </w:p>
        </w:tc>
      </w:tr>
      <w:tr w:rsidR="00CF6415" w:rsidRPr="00C01AF2" w:rsidTr="00D23F49">
        <w:trPr>
          <w:trHeight w:val="165"/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proofErr w:type="gramStart"/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n</w:t>
            </w:r>
            <w:proofErr w:type="gramEnd"/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 xml:space="preserve"> (%)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 xml:space="preserve">Age, mean (SD)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80"/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 xml:space="preserve">Men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Atkinson et al. 2016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47 low- and middle-income countries (LMIC)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Urban and rural areas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Cross-sectional (on data from World Health Organization (WHO) Health Surveillance Information Study (n=70 countries)),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selected on health surveillance needs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(n=242,753)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Excluded: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Physically inactive (International Physical Activity Questionnaire Score)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Country level: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Human Development Index, economic development, urbanisation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 xml:space="preserve">Individual level: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age, gender, education, income, rural/urban residence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18, 69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White-collar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Blue-collar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Homemaker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196,742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495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Barker et al. 2006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India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Rural village in agricultural community near Pune (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Paba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Cross-sectional,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 xml:space="preserve">families from the Maternal Nutrition and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Fetal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Growth Study (n=797), non-random sample of married women in the village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(n=180)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Excluded: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Body Mass Index (BMI) (kilograms (kg)/metres (m)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  <w:lang w:eastAsia="en-GB"/>
              </w:rPr>
              <w:t>2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Fruit consumption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None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Farming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FF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Reproductive age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Husband and wife pairs of child bearing age with at least one son and one daughter aged three to eight years (mainly agricultural castes)</w:t>
            </w:r>
          </w:p>
        </w:tc>
      </w:tr>
      <w:tr w:rsidR="00CF6415" w:rsidRPr="00C01AF2" w:rsidTr="00D23F49">
        <w:trPr>
          <w:trHeight w:val="345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Non-farming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Gupta et al. 1997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Rajasthan, India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Three villages in rural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communities (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Bagoth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Badoo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and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Janjila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in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Parbatsar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Tehsil, county of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Nagaur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Cross-sectional,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entire communities in randomly selected villages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 xml:space="preserve">(n=3,148) 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 xml:space="preserve">Excluded: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Coronary Heart Disease (CHD)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Alcohol, diastolic blood pressure (DBP), family history of diabetes and CHD and High-Density Lipoprotein (HDL), history of diabetes, tobacco, physical activity (PA); hypertension, Low-Density Lipoprotein (LDL), obesity, systolic blood pressure (SBP), total cholesterol (TC), triglycerides (TG), waist-to-hip-ratio (WHR)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Age, gender, education, anger/grief, prayer habit, family structure, religion, marital status, vegetarianism and intake of Ghee, (depression, stressful life events, housing and Yoga practice)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Agriculture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1,303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1,483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&gt;20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Desert population. Engage in farming activities for two to three months per year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Low response rate for women (59.2%)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due to Purdah custom (religious seclusion of women)</w:t>
            </w: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Business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377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396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Professional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Government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298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329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Household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933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933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8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Total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1,982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1,166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3,148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39.87 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36.81 (3)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38.73 (14)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proofErr w:type="spellStart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Panwar</w:t>
            </w:r>
            <w:proofErr w:type="spellEnd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 &amp; </w:t>
            </w:r>
            <w:proofErr w:type="spellStart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Punia</w:t>
            </w:r>
            <w:proofErr w:type="spellEnd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 1998a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Orissa, 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>India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Pregnant women from six rural farming/non-farming villages in Haryana State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Cross-sectional,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>sampling methods not available (N/A)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lastRenderedPageBreak/>
              <w:br/>
              <w:t>(n=90)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sz w:val="12"/>
                <w:szCs w:val="12"/>
                <w:lang w:eastAsia="en-GB"/>
              </w:rPr>
              <w:lastRenderedPageBreak/>
              <w:t xml:space="preserve">Excluded: 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fruit consumption (grams (g)/day (d)), vegetable consumption (g/d)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None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None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Farming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Reproductive age 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Pregnant women</w:t>
            </w:r>
          </w:p>
        </w:tc>
      </w:tr>
      <w:tr w:rsidR="00CF6415" w:rsidRPr="00C01AF2" w:rsidTr="00D23F49">
        <w:trPr>
          <w:trHeight w:val="18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Non-farming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proofErr w:type="spellStart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Panwar</w:t>
            </w:r>
            <w:proofErr w:type="spellEnd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 &amp; </w:t>
            </w:r>
            <w:proofErr w:type="spellStart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Punia</w:t>
            </w:r>
            <w:proofErr w:type="spellEnd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 1998b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Orissa, 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>India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Pregnant women from six rural farming/non-farming villages in Haryana State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Cross-sectional,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 xml:space="preserve">sampling methods N/A 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>(n=90)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Excluded: ascorbic acid (milligrams (mg)/d), folic acid (micrograms (µg)/d), riboflavin (mg/d)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Farming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Reproductive age</w:t>
            </w:r>
            <w:r w:rsidRPr="00C01AF2">
              <w:rPr>
                <w:rFonts w:eastAsia="Times New Roman" w:cs="Times New Roman"/>
                <w:color w:val="FF0000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Pregnant women</w:t>
            </w: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Non-farming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Poulter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et al. 1984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Nyanza Province, Kenya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35 rural villages in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Siaya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District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Cross-sectional,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random sample of Lou tribe (rural) and volunteers of potential (Lou) migrants (rural)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(n=2,334)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sz w:val="12"/>
                <w:szCs w:val="12"/>
                <w:lang w:eastAsia="en-GB"/>
              </w:rPr>
              <w:t xml:space="preserve"> Excluded: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 BMI (kg/m</w:t>
            </w:r>
            <w:r w:rsidRPr="00C01AF2">
              <w:rPr>
                <w:rFonts w:eastAsia="Times New Roman" w:cs="Times New Roman"/>
                <w:sz w:val="12"/>
                <w:szCs w:val="12"/>
                <w:vertAlign w:val="superscript"/>
                <w:lang w:eastAsia="en-GB"/>
              </w:rPr>
              <w:t>2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), DBP (millimetre mercury (mmHg)) (age-adjusted), SBP (mmHg) (age-adjusted)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None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Age, education, sodium level, potassium level,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sodium:potasium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ratio, weight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Land work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≥17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Occupation data missing for 37% of participants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Combines participants sampled by two methods (861 men and women from census and 1473 male volunteers)</w:t>
            </w:r>
          </w:p>
        </w:tc>
      </w:tr>
      <w:tr w:rsidR="00CF6415" w:rsidRPr="00C01AF2" w:rsidTr="00D23F49">
        <w:trPr>
          <w:trHeight w:val="825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Other work (teaching, machinery maintenance, lorry driving etc.)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8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Total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2,334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Pritchard et al. 2016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Himachal Pradesh and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Uttarakhand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, India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Two (anonymous) rural villages, on each side of the boundary between Himachal Pradesh and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Uttarakhand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Cross-sectional (of cohort),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three-stage households (HH) baseline random survey strategy (purpose sampling of villages)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(n=123 HHs)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 xml:space="preserve">Excluded: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fruits (kilojoules (KJ)/d), vegetables (KJ/d)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HH farming own plot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Adult HH members, adjusted for children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Men, women and children (results are adjusted for infants and children)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Villages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differ markedly in history of landholding, social patterning of land and food insecurity</w:t>
            </w:r>
          </w:p>
        </w:tc>
      </w:tr>
      <w:tr w:rsidR="00CF6415" w:rsidRPr="00C01AF2" w:rsidTr="00D23F49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HH farming other’s land/ share-cropping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82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HH with one or more non-agricultural livelihood sources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82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HH farming own plot and one or more non-farm livelihood sources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123 HHs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Sengupta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2014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Andhra Pradesh and West Bengal, India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Fishermen from rural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Araku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valley of Visakhapatnam District,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Andhra Pradesh and urban college students from Kolkata, West Bengal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Cross-sectional,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random sample (site selection N/A)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(n=50)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 xml:space="preserve">Excluded: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BMI (kg/m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  <w:lang w:eastAsia="en-GB"/>
              </w:rPr>
              <w:t>2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), DBP (mmHg), energy expenditure (EE) (kcal minute (min)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  <w:lang w:eastAsia="en-GB"/>
              </w:rPr>
              <w:t>-2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), % Body fat (% BF) (%) (age adjusted), SBP (mmHg), waist circumference (WC) (centimetres (cm)), WHR</w:t>
            </w:r>
          </w:p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Fishermen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22.8 (1.92)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Non-smokers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 xml:space="preserve">Students are different samples from the same college as other studies by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Sengupta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and colleagues</w:t>
            </w: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College students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21.9 (2.25)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Sengupta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&amp;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Sahoo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2013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Orissa and West Bengal, India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Fishermen slum in rural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Puri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, Orissa and urban college students from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lastRenderedPageBreak/>
              <w:t xml:space="preserve">Kolkata, West Bengal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lastRenderedPageBreak/>
              <w:t>Cross-sectional,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random sample (site selection N/A)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lastRenderedPageBreak/>
              <w:br/>
              <w:t>(n=30)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lastRenderedPageBreak/>
              <w:t xml:space="preserve">Excluded: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BMI (Kg/m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  <w:lang w:eastAsia="en-GB"/>
              </w:rPr>
              <w:t>2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), DBP (mmHg), EE (kcal min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  <w:lang w:eastAsia="en-GB"/>
              </w:rPr>
              <w:t>-2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), % BF (%)</w:t>
            </w:r>
            <w:r w:rsidRPr="00C01AF2">
              <w:rPr>
                <w:rFonts w:eastAsia="Times New Roman" w:cs="Times New Roman"/>
                <w:color w:val="FF0000"/>
                <w:sz w:val="12"/>
                <w:szCs w:val="12"/>
                <w:lang w:eastAsia="en-GB"/>
              </w:rPr>
              <w:t xml:space="preserve"> 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lastRenderedPageBreak/>
              <w:t>(age adjusted), SBP (mmHg)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lastRenderedPageBreak/>
              <w:t>None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Fishermen (slum)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22.2 (2.70)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18, 25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Non-smokers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 xml:space="preserve">Students are different samples from 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lastRenderedPageBreak/>
              <w:t xml:space="preserve">the same college as other studies by </w:t>
            </w:r>
            <w:proofErr w:type="spellStart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Sengupta</w:t>
            </w:r>
            <w:proofErr w:type="spellEnd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 and colleagues</w:t>
            </w: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College students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21.0 (2.25)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proofErr w:type="spellStart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Sengupta</w:t>
            </w:r>
            <w:proofErr w:type="spellEnd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 &amp; </w:t>
            </w:r>
            <w:proofErr w:type="spellStart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Sahoo</w:t>
            </w:r>
            <w:proofErr w:type="spellEnd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 2011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West Bengal, India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Fishermen slum in rural East </w:t>
            </w:r>
            <w:proofErr w:type="spellStart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Midnapore</w:t>
            </w:r>
            <w:proofErr w:type="spellEnd"/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 and urban college students from Kolkata, West Bengal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Cross-sectional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>random sampling (site selection N/A)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>(n=30)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sz w:val="12"/>
                <w:szCs w:val="12"/>
                <w:lang w:eastAsia="en-GB"/>
              </w:rPr>
              <w:t xml:space="preserve">Excluded: 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BMI (kg/m</w:t>
            </w:r>
            <w:r w:rsidRPr="00C01AF2">
              <w:rPr>
                <w:rFonts w:eastAsia="Times New Roman" w:cs="Times New Roman"/>
                <w:sz w:val="12"/>
                <w:szCs w:val="12"/>
                <w:vertAlign w:val="superscript"/>
                <w:lang w:eastAsia="en-GB"/>
              </w:rPr>
              <w:t>2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), DBP (mmHg), EE (Kcal min-2), % BF (%) (age adjusted), SBP (mmHg), WC</w:t>
            </w:r>
            <w:r>
              <w:rPr>
                <w:rFonts w:eastAsia="Times New Roman" w:cs="Times New Roman"/>
                <w:sz w:val="12"/>
                <w:szCs w:val="12"/>
                <w:lang w:eastAsia="en-GB"/>
              </w:rPr>
              <w:t xml:space="preserve"> 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(cm), WHR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Fishermen (slum)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22.5 (2.97)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18, 25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Non-smokers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 xml:space="preserve">Students are different samples from the same college as other studies by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Sengupta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and colleagues</w:t>
            </w:r>
          </w:p>
        </w:tc>
      </w:tr>
      <w:tr w:rsidR="00CF6415" w:rsidRPr="00C01AF2" w:rsidTr="00D23F49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College students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21.9 (2.16)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Van Minh et al. 2003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Hatay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Province, Vietnam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Rural areas in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Bavi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District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Cohort (longitudinal demographic surveillance system </w:t>
            </w:r>
            <w:proofErr w:type="spellStart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FilaBavi</w:t>
            </w:r>
            <w:proofErr w:type="spellEnd"/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(n=49,543 person-years)),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 xml:space="preserve">Village cluster design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br/>
              <w:t>(n=15,193 person-years)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 xml:space="preserve">Excluded: </w:t>
            </w: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Cardiovascular Disease mortalit</w:t>
            </w: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y (CVD) (for subgroup)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sz w:val="12"/>
                <w:szCs w:val="12"/>
                <w:lang w:eastAsia="en-GB"/>
              </w:rPr>
              <w:t>CHD mortality, CVD mortality, pulmonary heart disease mortality, stroke mortality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Age, gender, education, economic condition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Farmer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 50, &gt;70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Analysis restricted to subsample of participants aged ≥50 years (n=15 193/49 543 person-years)</w:t>
            </w: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16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Other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Non-pension retired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CF6415" w:rsidRPr="00C01AF2" w:rsidTr="00D23F49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15,193 person-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6415" w:rsidRPr="00C01AF2" w:rsidRDefault="00CF6415" w:rsidP="00D23F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  <w:r w:rsidRPr="00C01AF2"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6415" w:rsidRPr="00C01AF2" w:rsidRDefault="00CF6415" w:rsidP="00D23F4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</w:tbl>
    <w:p w:rsidR="003C2C19" w:rsidRPr="00FB57E7" w:rsidRDefault="003C2C19" w:rsidP="00FB57E7">
      <w:pPr>
        <w:pStyle w:val="Legend"/>
        <w:spacing w:after="0" w:line="240" w:lineRule="auto"/>
      </w:pPr>
      <w:bookmarkStart w:id="0" w:name="_GoBack"/>
      <w:bookmarkEnd w:id="0"/>
    </w:p>
    <w:sectPr w:rsidR="003C2C19" w:rsidRPr="00FB57E7" w:rsidSect="00CF64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15"/>
    <w:rsid w:val="000F6134"/>
    <w:rsid w:val="00197C80"/>
    <w:rsid w:val="002077B7"/>
    <w:rsid w:val="00290AE8"/>
    <w:rsid w:val="002B1AE1"/>
    <w:rsid w:val="0034577F"/>
    <w:rsid w:val="00381E11"/>
    <w:rsid w:val="003A5E0E"/>
    <w:rsid w:val="003C2C19"/>
    <w:rsid w:val="008B2A26"/>
    <w:rsid w:val="008F3E33"/>
    <w:rsid w:val="00A24F81"/>
    <w:rsid w:val="00B5268C"/>
    <w:rsid w:val="00B763E9"/>
    <w:rsid w:val="00C10E1C"/>
    <w:rsid w:val="00C36499"/>
    <w:rsid w:val="00C6144D"/>
    <w:rsid w:val="00C80233"/>
    <w:rsid w:val="00CF6415"/>
    <w:rsid w:val="00E31F10"/>
    <w:rsid w:val="00F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BA6F2"/>
  <w14:defaultImageDpi w14:val="330"/>
  <w15:chartTrackingRefBased/>
  <w15:docId w15:val="{6232F92D-E728-417C-9708-6A32FE9B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15"/>
    <w:pPr>
      <w:spacing w:after="20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F6415"/>
    <w:pPr>
      <w:spacing w:before="240" w:after="240"/>
    </w:pPr>
    <w:rPr>
      <w:b/>
      <w:iCs/>
      <w:sz w:val="20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CF6415"/>
    <w:rPr>
      <w:rFonts w:ascii="Times New Roman" w:hAnsi="Times New Roman"/>
      <w:b/>
      <w:iCs/>
      <w:sz w:val="20"/>
      <w:szCs w:val="18"/>
    </w:rPr>
  </w:style>
  <w:style w:type="paragraph" w:customStyle="1" w:styleId="Legend">
    <w:name w:val="Legend"/>
    <w:basedOn w:val="Caption"/>
    <w:link w:val="LegendChar"/>
    <w:qFormat/>
    <w:rsid w:val="00CF6415"/>
    <w:rPr>
      <w:b w:val="0"/>
    </w:rPr>
  </w:style>
  <w:style w:type="character" w:customStyle="1" w:styleId="LegendChar">
    <w:name w:val="Legend Char"/>
    <w:basedOn w:val="CaptionChar"/>
    <w:link w:val="Legend"/>
    <w:rsid w:val="00CF6415"/>
    <w:rPr>
      <w:rFonts w:ascii="Times New Roman" w:hAnsi="Times New Roman"/>
      <w:b w:val="0"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Sorensen</dc:creator>
  <cp:keywords/>
  <dc:description/>
  <cp:lastModifiedBy>Tina Sorensen</cp:lastModifiedBy>
  <cp:revision>4</cp:revision>
  <dcterms:created xsi:type="dcterms:W3CDTF">2019-11-07T12:43:00Z</dcterms:created>
  <dcterms:modified xsi:type="dcterms:W3CDTF">2020-01-25T14:53:00Z</dcterms:modified>
</cp:coreProperties>
</file>