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CB" w:rsidRPr="00EB0296" w:rsidRDefault="00AA7CCB" w:rsidP="00AA7CCB">
      <w:pPr>
        <w:rPr>
          <w:b/>
        </w:rPr>
      </w:pPr>
      <w:proofErr w:type="gramStart"/>
      <w:r w:rsidRPr="00EB0296">
        <w:rPr>
          <w:b/>
        </w:rPr>
        <w:t>S1 Table.</w:t>
      </w:r>
      <w:proofErr w:type="gramEnd"/>
      <w:r w:rsidRPr="00EB0296">
        <w:rPr>
          <w:b/>
        </w:rPr>
        <w:t xml:space="preserve"> </w:t>
      </w:r>
      <w:proofErr w:type="gramStart"/>
      <w:r w:rsidRPr="00EB0296">
        <w:rPr>
          <w:b/>
        </w:rPr>
        <w:t>Results of cross-linguistic studies suggesting that the numbers and durations of pauses in different languages are similar.</w:t>
      </w:r>
      <w:proofErr w:type="gramEnd"/>
    </w:p>
    <w:tbl>
      <w:tblPr>
        <w:tblStyle w:val="TableGrid"/>
        <w:tblW w:w="9204" w:type="dxa"/>
        <w:tblLook w:val="04A0" w:firstRow="1" w:lastRow="0" w:firstColumn="1" w:lastColumn="0" w:noHBand="0" w:noVBand="1"/>
      </w:tblPr>
      <w:tblGrid>
        <w:gridCol w:w="1949"/>
        <w:gridCol w:w="5919"/>
        <w:gridCol w:w="1336"/>
      </w:tblGrid>
      <w:tr w:rsidR="00AA7CCB" w:rsidRPr="00690440" w:rsidTr="00751885">
        <w:tc>
          <w:tcPr>
            <w:tcW w:w="1951" w:type="dxa"/>
          </w:tcPr>
          <w:p w:rsidR="00AA7CCB" w:rsidRPr="00690440" w:rsidRDefault="00AA7CCB" w:rsidP="00751885">
            <w:pPr>
              <w:spacing w:before="0" w:after="0"/>
              <w:rPr>
                <w:rFonts w:eastAsiaTheme="minorEastAsia" w:cs="Times New Roman"/>
                <w:b/>
                <w:szCs w:val="24"/>
                <w:lang w:eastAsia="de-DE"/>
              </w:rPr>
            </w:pPr>
            <w:r w:rsidRPr="00690440">
              <w:rPr>
                <w:rFonts w:eastAsiaTheme="minorEastAsia" w:cs="Times New Roman"/>
                <w:b/>
                <w:szCs w:val="24"/>
                <w:lang w:eastAsia="de-DE"/>
              </w:rPr>
              <w:t>Characteristics considered</w:t>
            </w:r>
          </w:p>
        </w:tc>
        <w:tc>
          <w:tcPr>
            <w:tcW w:w="5982" w:type="dxa"/>
          </w:tcPr>
          <w:p w:rsidR="00AA7CCB" w:rsidRPr="00690440" w:rsidRDefault="00AA7CCB" w:rsidP="00751885">
            <w:pPr>
              <w:spacing w:before="0" w:after="0"/>
              <w:rPr>
                <w:rFonts w:eastAsiaTheme="minorEastAsia" w:cs="Times New Roman"/>
                <w:b/>
                <w:szCs w:val="24"/>
                <w:lang w:eastAsia="de-DE"/>
              </w:rPr>
            </w:pPr>
            <w:r w:rsidRPr="00690440">
              <w:rPr>
                <w:rFonts w:eastAsiaTheme="minorEastAsia" w:cs="Times New Roman"/>
                <w:b/>
                <w:szCs w:val="24"/>
                <w:lang w:eastAsia="de-DE"/>
              </w:rPr>
              <w:t>Results</w:t>
            </w:r>
          </w:p>
        </w:tc>
        <w:tc>
          <w:tcPr>
            <w:tcW w:w="1271" w:type="dxa"/>
          </w:tcPr>
          <w:p w:rsidR="00AA7CCB" w:rsidRPr="00690440" w:rsidRDefault="00AA7CCB" w:rsidP="00751885">
            <w:pPr>
              <w:spacing w:before="0" w:after="0"/>
              <w:rPr>
                <w:rFonts w:eastAsiaTheme="minorEastAsia" w:cs="Times New Roman"/>
                <w:b/>
                <w:szCs w:val="24"/>
                <w:lang w:eastAsia="de-DE"/>
              </w:rPr>
            </w:pPr>
            <w:r w:rsidRPr="00690440">
              <w:rPr>
                <w:rFonts w:eastAsiaTheme="minorEastAsia" w:cs="Times New Roman"/>
                <w:b/>
                <w:szCs w:val="24"/>
                <w:lang w:eastAsia="de-DE"/>
              </w:rPr>
              <w:t>References</w:t>
            </w:r>
          </w:p>
        </w:tc>
      </w:tr>
      <w:tr w:rsidR="00AA7CCB" w:rsidRPr="00690440" w:rsidTr="00751885">
        <w:tc>
          <w:tcPr>
            <w:tcW w:w="1951" w:type="dxa"/>
            <w:vMerge w:val="restart"/>
          </w:tcPr>
          <w:p w:rsidR="00AA7CCB" w:rsidRPr="00690440" w:rsidRDefault="00AA7CCB" w:rsidP="00751885">
            <w:pPr>
              <w:spacing w:before="0" w:after="0"/>
              <w:rPr>
                <w:rFonts w:eastAsiaTheme="minorEastAsia" w:cs="Times New Roman"/>
                <w:b/>
                <w:szCs w:val="24"/>
                <w:lang w:eastAsia="de-DE"/>
              </w:rPr>
            </w:pPr>
            <w:r w:rsidRPr="00690440">
              <w:rPr>
                <w:rFonts w:eastAsiaTheme="minorEastAsia" w:cs="Times New Roman"/>
                <w:b/>
                <w:szCs w:val="24"/>
                <w:lang w:eastAsia="de-DE"/>
              </w:rPr>
              <w:t>Number of pauses</w:t>
            </w: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English ≈ French ≈ Spanish</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0142716416000","author":[{"dropping-particle":"","family":"Huensch","given":"Amanda","non-dropping-particle":"","parse-names":false,"suffix":""},{"dropping-particle":"","family":"Tracy-Ventura","given":"Nicole","non-dropping-particle":"","parse-names":false,"suffix":""}],"container-title":"Applied Psycholinguistics","id":"ITEM-1","issued":{"date-parts":[["2016"]]},"page":"1-31","title":"Understanding second language fluency behavior: the effects of individual differences in first language fluency, cross-linguistic differences, and proficiency over time","type":"article-journal"},"uris":["http://www.mendeley.com/documents/?uuid=fb53b632-c26d-46aa-b6f6-290748b07972"]}],"mendeley":{"formattedCitation":"(1)","plainTextFormattedCitation":"(1)","previouslyFormattedCitation":"(1)"},"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(1)</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French ≈ English</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{"citationItems":[{"id":"ITEM-1","itemData":{"ISSN":"23332042","abstract":"In this study we examined the read speech of native and non-native speakers with respect to pausing details of audible breathing, particularly in disfluent phases. 20 German and 20 French native speakers read the same narrative text in their native (L1) and in their non-native language (L2). Some ex-pected results were confirmed: more frequent pauses and more frequent disfluencies in L2, as well as longer duration of pauses filled with breath noise than those without. However, the analysis also reveals that in fluent phases the vast majority of pauses contains audible inhalation -which requires a re-interpretation of the terms \"unfilled\" and \"silent\" pauses. Most disfluent phases are marked by genuinely silent pauses (i.e. without breathing noises), which are also shorter than those in fluent phases. So-called \"filled pauses\" are virtually not present. Surprisingly, French speakers use more but shorter pauses than the Germans as an L2 pausing strategy. The results suggest that the widely assumed concept of pauses in phonetics, prosody and fluency research should be renewed and enriched with phonetic detail that goes beyond \"silent\" vs. \"filled\" pauses in order to get a better understanding of the prosodic make-up of fluent and less fluent phases in speech.","author":[{"dropping-particle":"","family":"Trouvain","given":"Jürgen","non-dropping-particle":"","parse-names":false,"suffix":""},{"dropping-particle":"","family":"Fauth","given":"Camille","non-dropping-particle":"","parse-names":false,"suffix":""},{"dropping-particle":"","family":"Möbius","given":"Bernd","non-dropping-particle":"","parse-names":false,"suffix":""}],"container-title":"Speech Prosody (SP8)","id":"ITEM-1","issued":{"date-parts":[["2016"]]},"page":"31-35","title":"Breath and Non-breath Pauses in Fluent and Disfluent Phases of German and French L1 and L2 Read Speech","type":"paper-conference"},"uris":["http://www.mendeley.com/documents/?uuid=46f35433-98cf-4089-8dd4-54b21a071700"]}],"mendeley":{"formattedCitation":"(2)","plainTextFormattedCitation":"(2)","previouslyFormattedCitation":"(2)"},"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(2)</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English ≈ Croatian</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{"citationItems":[{"id":"ITEM-1","itemData":{"author":[{"dropping-particle":"","family":"Smiljanic","given":"Rajka","non-dropping-particle":"","parse-names":false,"suffix":""},{"dropping-particle":"","family":"Bradlow","given":"Ann R.","non-dropping-particle":"","parse-names":false,"suffix":""}],"container-title":"Journal of the Acoustical Society of America","id":"ITEM-1","issued":{"date-parts":[["2005"]]},"note":"see Table 2 p.21 for numbers and durations of pauses","page":"1677-1688","title":"Production and perception of clear speech in Croatian and English","type":"article-journal","volume":"118"},"uris":["http://www.mendeley.com/documents/?uuid=c21dd504-bbfb-4bba-b82f-3d480feffbd5"]}],"mendeley":{"formattedCitation":"(3)","plainTextFormattedCitation":"(3)","previouslyFormattedCitation":"(3)"},"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(3)</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adjustments to different speech tempi: Dutch ≈ English ≈ French ≈ Italian ≈ Romanian ≈ Spanish</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{"citationItems":[{"id":"ITEM-1","itemData":{"ISBN":"9781605603162","ISSN":"19909772","abstract":"In this paper we present a study of speech pauses at three different speaking rates, based on the analysis of four hours of read speech in six European languages. Our results confirm earlier observations that the logarithmic duration of the pauses can be well approximated by a bi-Gaussian distribution. We found this also to be true at slow and fast speaking rates. Our analysis further shows that, as far as the long speech pauses are concerned, similar strategies are used in all languages considered. For speaking slowly, speakers increase the total amount of pauses and they use a wider range of pause durations. Overall, there appeared to be no striking change in the average, nor in the variance of the distribution of the pause durations. For speaking rapidly, speakers decrease the amount of pauses used and they refrain from using the longest pauses that occur in their normal speech. Overall, this results in a lower average and a smaller variance of the pause durations.","author":[{"dropping-particle":"","family":"Demol","given":"Mike","non-dropping-particle":"","parse-names":false,"suffix":""},{"dropping-particle":"","family":"Verhelst","given":"Werner","non-dropping-particle":"","parse-names":false,"suffix":""},{"dropping-particle":"","family":"Verhoeve","given":"Piet","non-dropping-particle":"","parse-names":false,"suffix":""}],"container-title":"Proceedings of the Annual Conference of the International Speech Communication Association, INTERSPEECH","id":"ITEM-1","issue":"1","issued":{"date-parts":[["2007"]]},"page":"117-120","title":"The duration of speech pauses in a multilingual environment","type":"article-journal","volume":"1"},"uris":["http://www.mendeley.com/documents/?uuid=e582c611-a65e-4686-8005-4d0e413b0ff4"]}],"mendeley":{"formattedCitation":"(4)","plainTextFormattedCitation":"(4)","previouslyFormattedCitation":"(4)"},"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(4)</w:t>
            </w:r>
            <w:r>
              <w:rPr>
                <w:rFonts w:eastAsiaTheme="minorEastAsia" w:cs="Times New Roman"/>
                <w:szCs w:val="24"/>
                <w:lang w:eastAsia="de-DE"/>
              </w:rPr>
              <w:fldChar w:fldCharType="end"/>
            </w:r>
          </w:p>
        </w:tc>
      </w:tr>
      <w:tr w:rsidR="00AA7CCB" w:rsidRPr="00690440" w:rsidTr="00751885">
        <w:tc>
          <w:tcPr>
            <w:tcW w:w="1951" w:type="dxa"/>
            <w:vMerge w:val="restart"/>
          </w:tcPr>
          <w:p w:rsidR="00AA7CCB" w:rsidRPr="00690440" w:rsidRDefault="00AA7CCB" w:rsidP="00751885">
            <w:pPr>
              <w:spacing w:before="0" w:after="0"/>
              <w:rPr>
                <w:rFonts w:eastAsiaTheme="minorEastAsia" w:cs="Times New Roman"/>
                <w:b/>
                <w:szCs w:val="24"/>
                <w:lang w:eastAsia="de-DE"/>
              </w:rPr>
            </w:pPr>
            <w:r w:rsidRPr="00690440">
              <w:rPr>
                <w:rFonts w:eastAsiaTheme="minorEastAsia" w:cs="Times New Roman"/>
                <w:b/>
                <w:szCs w:val="24"/>
                <w:lang w:eastAsia="de-DE"/>
              </w:rPr>
              <w:t>Duration of pauses</w:t>
            </w: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English ≈ French ≈ Spanish</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0142716416000","author":[{"dropping-particle":"","family":"Huensch","given":"Amanda","non-dropping-particle":"","parse-names":false,"suffix":""},{"dropping-particle":"","family":"Tracy-Ventura","given":"Nicole","non-dropping-particle":"","parse-names":false,"suffix":""}],"container-title":"Applied Psycholinguistics","id":"ITEM-1","issued":{"date-parts":[["2016"]]},"page":"1-31","title":"Understanding second language fluency behavior: the effects of individual differences in first language fluency, cross-linguistic differences, and proficiency over time","type":"article-journal"},"uris":["http://www.mendeley.com/documents/?uuid=fb53b632-c26d-46aa-b6f6-290748b07972"]}],"mendeley":{"formattedCitation":"(1)","plainTextFormattedCitation":"(1)","previouslyFormattedCitation":"(1)"},"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(1)</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English ≈ Croatian</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{"citationItems":[{"id":"ITEM-1","itemData":{"author":[{"dropping-particle":"","family":"Smiljanic","given":"Rajka","non-dropping-particle":"","parse-names":false,"suffix":""},{"dropping-particle":"","family":"Bradlow","given":"Ann R.","non-dropping-particle":"","parse-names":false,"suffix":""}],"container-title":"Journal of the Acoustical Society of America","id":"ITEM-1","issued":{"date-parts":[["2005"]]},"note":"see Table 2 p.21 for numbers and durations of pauses","page":"1677-1688","title":"Production and perception of clear speech in Croatian and English","type":"article-journal","volume":"118"},"uris":["http://www.mendeley.com/documents/?uuid=c21dd504-bbfb-4bba-b82f-3d480feffbd5"]}],"mendeley":{"formattedCitation":"(3)","plainTextFormattedCitation":"(3)","previouslyFormattedCitation":"(3)"},"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(3)</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English ≈ Chinese</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{"citationItems":[{"id":"ITEM-1","itemData":{"ISBN":"9781605603162","abstract":"Duration is an important feature both to achieve high-quality synthesis and as a marker of phrasal organization in speech. In this study, we investigate pauses and durational patterns in English and Mandarin spontaneous conversation, as well as how reliably such elements can serve as boundary-marking predictors cross-linguistically. Results show that pause duration is significantly correlated with specific boundary status and that syllable duration is inversely correlated with distance to phrase end in both English and Chinese. Our findings support the view that duration features are highly consistent and that it is useful to integrate such knowledge to enhance performance in interactive systems.","author":[{"dropping-particle":"","family":"Yang","given":"Li-chiung","non-dropping-particle":"","parse-names":false,"suffix":""}],"container-title":"Proceedings of Interspeech 2007","id":"ITEM-1","issued":{"date-parts":[["2007"]]},"page":"458-461","title":"Duration and pauses as boundary-markers in speech: a cross-linguistic study","type":"paper-conference"},"uris":["http://www.mendeley.com/documents/?uuid=148a18cf-55cc-4e57-8b64-e75eaef2f919"]}],"mendeley":{"formattedCitation":"(5)","plainTextFormattedCitation":"(5)","previouslyFormattedCitation":"(5)"},"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(5)</w:t>
            </w:r>
            <w:r>
              <w:rPr>
                <w:rFonts w:eastAsiaTheme="minorEastAsia" w:cs="Times New Roman"/>
                <w:szCs w:val="24"/>
                <w:lang w:eastAsia="de-DE"/>
              </w:rPr>
              <w:fldChar w:fldCharType="end"/>
            </w:r>
          </w:p>
        </w:tc>
      </w:tr>
      <w:tr w:rsidR="00AA7CCB" w:rsidRPr="00690440" w:rsidTr="00751885">
        <w:tc>
          <w:tcPr>
            <w:tcW w:w="1951" w:type="dxa"/>
            <w:vMerge/>
          </w:tcPr>
          <w:p w:rsidR="00AA7CCB" w:rsidRPr="00690440" w:rsidRDefault="00AA7CCB" w:rsidP="00751885">
            <w:pPr>
              <w:spacing w:before="0" w:after="0"/>
              <w:rPr>
                <w:rFonts w:eastAsiaTheme="minorEastAsia" w:cs="Times New Roman"/>
                <w:szCs w:val="24"/>
                <w:lang w:eastAsia="de-DE"/>
              </w:rPr>
            </w:pPr>
          </w:p>
        </w:tc>
        <w:tc>
          <w:tcPr>
            <w:tcW w:w="5982" w:type="dxa"/>
          </w:tcPr>
          <w:p w:rsidR="00AA7CCB" w:rsidRPr="00690440" w:rsidRDefault="00AA7CCB" w:rsidP="00751885">
            <w:pPr>
              <w:spacing w:before="0" w:after="0"/>
              <w:rPr>
                <w:rFonts w:eastAsiaTheme="minorEastAsia" w:cs="Times New Roman"/>
                <w:szCs w:val="24"/>
                <w:lang w:eastAsia="de-DE"/>
              </w:rPr>
            </w:pPr>
            <w:r w:rsidRPr="00690440">
              <w:rPr>
                <w:rFonts w:eastAsiaTheme="minorEastAsia" w:cs="Times New Roman"/>
                <w:szCs w:val="24"/>
                <w:lang w:eastAsia="de-DE"/>
              </w:rPr>
              <w:t>durational adjustments to different speech tempi: Dutch ≈ English ≈ French ≈ Italian ≈ Romanian ≈ Spanish</w:t>
            </w:r>
          </w:p>
        </w:tc>
        <w:tc>
          <w:tcPr>
            <w:tcW w:w="1271" w:type="dxa"/>
          </w:tcPr>
          <w:p w:rsidR="00AA7CCB" w:rsidRPr="00690440" w:rsidRDefault="00AA7CCB" w:rsidP="00751885">
            <w:pPr>
              <w:spacing w:before="0" w:after="0"/>
              <w:jc w:val="center"/>
              <w:rPr>
                <w:rFonts w:eastAsiaTheme="minorEastAsia" w:cs="Times New Roman"/>
                <w:szCs w:val="24"/>
                <w:lang w:eastAsia="de-DE"/>
              </w:rPr>
            </w:pPr>
            <w:r>
              <w:rPr>
                <w:rFonts w:eastAsiaTheme="minorEastAsia" w:cs="Times New Roman"/>
                <w:szCs w:val="24"/>
                <w:lang w:eastAsia="de-DE"/>
              </w:rPr>
              <w:fldChar w:fldCharType="begin" w:fldLock="1"/>
            </w:r>
            <w:r>
              <w:rPr>
                <w:rFonts w:eastAsiaTheme="minorEastAsia" w:cs="Times New Roman"/>
                <w:szCs w:val="24"/>
                <w:lang w:eastAsia="de-DE"/>
              </w:rPr>
              <w:instrText>ADDIN CSL_CITATION {"citationItems":[{"id":"ITEM-1","itemData":{"ISBN":"9781605603162","ISSN":"19909772","abstract":"In this paper we present a study of speech pauses at three different speaking rates, based on the analysis of four hours of read speech in six European languages. Our results confirm earlier observations that the logarithmic duration of the pauses can be well approximated by a bi-Gaussian distribution. We found this also to be true at slow and fast speaking rates. Our analysis further shows that, as far as the long speech pauses are concerned, similar strategies are used in all languages considered. For speaking slowly, speakers increase the total amount of pauses and they use a wider range of pause durations. Overall, there appeared to be no striking change in the average, nor in the variance of the distribution of the pause durations. For speaking rapidly, speakers decrease the amount of pauses used and they refrain from using the longest pauses that occur in their normal speech. Overall, this results in a lower average and a smaller variance of the pause durations.","author":[{"dropping-particle":"","family":"Demol","given":"Mike","non-dropping-particle":"","parse-names":false,"suffix":""},{"dropping-particle":"","family":"Verhelst","given":"Werner","non-dropping-particle":"","parse-names":false,"suffix":""},{"dropping-particle":"","family":"Verhoeve","given":"Piet","non-dropping-particle":"","parse-names":false,"suffix":""}],"container-title":"Proceedings of the Annual Conference of the International Speech Communication Association, INTERSPEECH","id":"ITEM-1","issue":"1","issued":{"date-parts":[["2007"]]},"page":"117-120","title":"The duration of speech pauses in a multilingual environment","type":"article-journal","volume":"1"},"uris":["http://www.mendeley.com/documents/?uuid=e582c611-a65e-4686-8005-4d0e413b0ff4"]}],"mendeley":{"formattedCitation":"(4)","plainTextFormattedCitation":"(4)","previouslyFormattedCitation":"(4)"},"properties":{"noteIndex":0},"schema":"https://github.com/citation-style-language/schema/raw/master/csl-citation.json"}</w:instrText>
            </w:r>
            <w:r>
              <w:rPr>
                <w:rFonts w:eastAsiaTheme="minorEastAsia" w:cs="Times New Roman"/>
                <w:szCs w:val="24"/>
                <w:lang w:eastAsia="de-DE"/>
              </w:rPr>
              <w:fldChar w:fldCharType="separate"/>
            </w:r>
            <w:r w:rsidRPr="00A20635">
              <w:rPr>
                <w:rFonts w:eastAsiaTheme="minorEastAsia" w:cs="Times New Roman"/>
                <w:noProof/>
                <w:szCs w:val="24"/>
                <w:lang w:eastAsia="de-DE"/>
              </w:rPr>
              <w:t>(4)</w:t>
            </w:r>
            <w:r>
              <w:rPr>
                <w:rFonts w:eastAsiaTheme="minorEastAsia" w:cs="Times New Roman"/>
                <w:szCs w:val="24"/>
                <w:lang w:eastAsia="de-DE"/>
              </w:rPr>
              <w:fldChar w:fldCharType="end"/>
            </w:r>
          </w:p>
        </w:tc>
      </w:tr>
    </w:tbl>
    <w:p w:rsidR="00AA7CCB" w:rsidRDefault="00AA7CCB">
      <w:bookmarkStart w:id="0" w:name="_GoBack"/>
      <w:bookmarkEnd w:id="0"/>
    </w:p>
    <w:sectPr w:rsidR="00AA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CB"/>
    <w:rsid w:val="00A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B"/>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CCB"/>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CB"/>
    <w:pPr>
      <w:spacing w:before="120"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CCB"/>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Guruprasath</dc:creator>
  <cp:lastModifiedBy>Guruprasath</cp:lastModifiedBy>
  <cp:revision>1</cp:revision>
  <dcterms:created xsi:type="dcterms:W3CDTF">2020-03-26T03:41:00Z</dcterms:created>
  <dcterms:modified xsi:type="dcterms:W3CDTF">2020-03-26T03:41:00Z</dcterms:modified>
</cp:coreProperties>
</file>