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1262"/>
        <w:gridCol w:w="1186"/>
        <w:gridCol w:w="1186"/>
        <w:gridCol w:w="1300"/>
        <w:gridCol w:w="1300"/>
      </w:tblGrid>
      <w:tr w:rsidR="00880BD2" w:rsidRPr="00FE6D1E" w14:paraId="39B84E4F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3E2BE34F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PTM</w:t>
            </w:r>
          </w:p>
        </w:tc>
        <w:tc>
          <w:tcPr>
            <w:tcW w:w="1262" w:type="dxa"/>
            <w:noWrap/>
            <w:vAlign w:val="center"/>
          </w:tcPr>
          <w:p w14:paraId="34BC2020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BY4741_UT</w:t>
            </w:r>
          </w:p>
        </w:tc>
        <w:tc>
          <w:tcPr>
            <w:tcW w:w="1186" w:type="dxa"/>
            <w:noWrap/>
            <w:vAlign w:val="center"/>
          </w:tcPr>
          <w:p w14:paraId="30292E9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3299">
              <w:rPr>
                <w:b/>
                <w:bCs/>
                <w:i/>
                <w:color w:val="000000"/>
              </w:rPr>
              <w:t>trm3</w:t>
            </w:r>
            <w:r w:rsidRPr="005C08FE">
              <w:rPr>
                <w:b/>
                <w:bCs/>
                <w:color w:val="000000"/>
              </w:rPr>
              <w:t>_UT</w:t>
            </w:r>
          </w:p>
        </w:tc>
        <w:tc>
          <w:tcPr>
            <w:tcW w:w="1186" w:type="dxa"/>
            <w:noWrap/>
            <w:vAlign w:val="center"/>
          </w:tcPr>
          <w:p w14:paraId="36EDFF59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3299">
              <w:rPr>
                <w:b/>
                <w:bCs/>
                <w:i/>
                <w:color w:val="000000"/>
              </w:rPr>
              <w:t>trm7</w:t>
            </w:r>
            <w:r w:rsidRPr="005C08FE">
              <w:rPr>
                <w:b/>
                <w:bCs/>
                <w:color w:val="000000"/>
              </w:rPr>
              <w:t>_UT</w:t>
            </w:r>
          </w:p>
        </w:tc>
        <w:tc>
          <w:tcPr>
            <w:tcW w:w="1300" w:type="dxa"/>
            <w:noWrap/>
            <w:vAlign w:val="center"/>
          </w:tcPr>
          <w:p w14:paraId="6369C9A7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3299">
              <w:rPr>
                <w:b/>
                <w:bCs/>
                <w:i/>
                <w:color w:val="000000"/>
              </w:rPr>
              <w:t>trm13</w:t>
            </w:r>
            <w:r w:rsidRPr="005C08FE">
              <w:rPr>
                <w:b/>
                <w:bCs/>
                <w:color w:val="000000"/>
              </w:rPr>
              <w:t>_UT</w:t>
            </w:r>
          </w:p>
        </w:tc>
        <w:tc>
          <w:tcPr>
            <w:tcW w:w="1300" w:type="dxa"/>
            <w:noWrap/>
            <w:vAlign w:val="center"/>
          </w:tcPr>
          <w:p w14:paraId="6C6A0114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3299">
              <w:rPr>
                <w:b/>
                <w:bCs/>
                <w:i/>
                <w:color w:val="000000"/>
              </w:rPr>
              <w:t>trm44</w:t>
            </w:r>
            <w:r w:rsidRPr="005C08FE">
              <w:rPr>
                <w:b/>
                <w:bCs/>
                <w:color w:val="000000"/>
              </w:rPr>
              <w:t>_UT</w:t>
            </w:r>
          </w:p>
        </w:tc>
      </w:tr>
      <w:tr w:rsidR="00880BD2" w:rsidRPr="00FE6D1E" w14:paraId="1740280D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6EA0F1DB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A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2F6B5180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23.479</w:t>
            </w:r>
            <w:r>
              <w:rPr>
                <w:color w:val="000000"/>
              </w:rPr>
              <w:t xml:space="preserve"> </w:t>
            </w:r>
          </w:p>
          <w:p w14:paraId="4322678D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1.629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19EB7413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22.538</w:t>
            </w:r>
            <w:r>
              <w:rPr>
                <w:color w:val="000000"/>
              </w:rPr>
              <w:t xml:space="preserve"> </w:t>
            </w:r>
          </w:p>
          <w:p w14:paraId="78D0CD4C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1.987</w:t>
            </w:r>
          </w:p>
        </w:tc>
        <w:tc>
          <w:tcPr>
            <w:tcW w:w="1186" w:type="dxa"/>
            <w:shd w:val="clear" w:color="auto" w:fill="66FFFF"/>
            <w:noWrap/>
            <w:vAlign w:val="center"/>
          </w:tcPr>
          <w:p w14:paraId="7D60D8FD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20.714</w:t>
            </w:r>
            <w:r>
              <w:rPr>
                <w:color w:val="000000"/>
              </w:rPr>
              <w:t xml:space="preserve"> </w:t>
            </w:r>
          </w:p>
          <w:p w14:paraId="07714FD5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0.443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211063D7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23.813</w:t>
            </w:r>
            <w:r>
              <w:rPr>
                <w:color w:val="000000"/>
              </w:rPr>
              <w:t xml:space="preserve"> </w:t>
            </w:r>
          </w:p>
          <w:p w14:paraId="0CD2F132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4.087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137BC696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26.057 </w:t>
            </w:r>
          </w:p>
          <w:p w14:paraId="0E7E1D8B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3.977</w:t>
            </w:r>
          </w:p>
        </w:tc>
      </w:tr>
      <w:tr w:rsidR="00880BD2" w:rsidRPr="00FE6D1E" w14:paraId="64890E82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134D4A4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ac</w:t>
            </w:r>
            <w:r w:rsidRPr="00B66CC2">
              <w:rPr>
                <w:b/>
                <w:bCs/>
                <w:color w:val="000000"/>
                <w:vertAlign w:val="superscript"/>
              </w:rPr>
              <w:t>4</w:t>
            </w:r>
            <w:r w:rsidRPr="00DE2997">
              <w:rPr>
                <w:b/>
                <w:bCs/>
                <w:color w:val="000000"/>
              </w:rPr>
              <w:t>C, f</w:t>
            </w:r>
            <w:r w:rsidRPr="00B66CC2">
              <w:rPr>
                <w:b/>
                <w:bCs/>
                <w:color w:val="000000"/>
                <w:vertAlign w:val="superscript"/>
              </w:rPr>
              <w:t>5</w:t>
            </w:r>
            <w:r w:rsidRPr="00DE2997">
              <w:rPr>
                <w:b/>
                <w:bCs/>
                <w:color w:val="000000"/>
              </w:rPr>
              <w:t>Cm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17281BB4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0.512</w:t>
            </w:r>
            <w:r>
              <w:rPr>
                <w:color w:val="000000"/>
              </w:rPr>
              <w:t xml:space="preserve"> </w:t>
            </w:r>
          </w:p>
          <w:p w14:paraId="78BB96EA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0.012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4F9976A2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0.520</w:t>
            </w:r>
            <w:r>
              <w:rPr>
                <w:color w:val="000000"/>
              </w:rPr>
              <w:t xml:space="preserve"> </w:t>
            </w:r>
          </w:p>
          <w:p w14:paraId="4D6906C8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0.013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51361001" w14:textId="77777777" w:rsidR="00880BD2" w:rsidRPr="008407CC" w:rsidRDefault="00880BD2" w:rsidP="003540FB">
            <w:pPr>
              <w:spacing w:after="0" w:line="240" w:lineRule="auto"/>
              <w:jc w:val="center"/>
            </w:pPr>
            <w:r w:rsidRPr="008407CC">
              <w:t xml:space="preserve">0.548 </w:t>
            </w:r>
          </w:p>
          <w:p w14:paraId="2210DF0A" w14:textId="77777777" w:rsidR="00880BD2" w:rsidRPr="00105D8E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8407CC">
              <w:t>± 0.012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7C4952F4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0.502</w:t>
            </w:r>
            <w:r>
              <w:rPr>
                <w:color w:val="000000"/>
              </w:rPr>
              <w:t xml:space="preserve"> </w:t>
            </w:r>
          </w:p>
          <w:p w14:paraId="2400500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0.057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3B0BF4D7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</w:t>
            </w:r>
            <w:r>
              <w:rPr>
                <w:color w:val="000000"/>
              </w:rPr>
              <w:t xml:space="preserve">487 </w:t>
            </w:r>
          </w:p>
          <w:p w14:paraId="54BCA815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0.048</w:t>
            </w:r>
          </w:p>
        </w:tc>
      </w:tr>
      <w:tr w:rsidR="00880BD2" w:rsidRPr="00FE6D1E" w14:paraId="6B680F43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78FE8C1B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ac</w:t>
            </w:r>
            <w:r w:rsidRPr="00B66CC2">
              <w:rPr>
                <w:b/>
                <w:bCs/>
                <w:color w:val="000000"/>
                <w:vertAlign w:val="superscript"/>
              </w:rPr>
              <w:t>4</w:t>
            </w:r>
            <w:r w:rsidRPr="00DE2997">
              <w:rPr>
                <w:b/>
                <w:bCs/>
                <w:color w:val="000000"/>
              </w:rPr>
              <w:t>Cm</w:t>
            </w:r>
          </w:p>
        </w:tc>
        <w:tc>
          <w:tcPr>
            <w:tcW w:w="1262" w:type="dxa"/>
            <w:noWrap/>
            <w:vAlign w:val="center"/>
          </w:tcPr>
          <w:p w14:paraId="5851E3D0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589D9414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0.003 </w:t>
            </w:r>
          </w:p>
          <w:p w14:paraId="3046A439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0.001</w:t>
            </w: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2116FA32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0.003 </w:t>
            </w:r>
          </w:p>
          <w:p w14:paraId="098921B1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0.002</w:t>
            </w:r>
          </w:p>
        </w:tc>
        <w:tc>
          <w:tcPr>
            <w:tcW w:w="1300" w:type="dxa"/>
            <w:noWrap/>
            <w:vAlign w:val="center"/>
          </w:tcPr>
          <w:p w14:paraId="6CDE2863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noWrap/>
            <w:vAlign w:val="center"/>
          </w:tcPr>
          <w:p w14:paraId="21C05ACC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D2" w:rsidRPr="00FE6D1E" w14:paraId="2F817606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121E5E4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C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3214653F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20.670</w:t>
            </w:r>
            <w:r>
              <w:rPr>
                <w:color w:val="000000"/>
              </w:rPr>
              <w:t xml:space="preserve"> </w:t>
            </w:r>
          </w:p>
          <w:p w14:paraId="537D0158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1.949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7DA9768A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21.390</w:t>
            </w:r>
            <w:r>
              <w:rPr>
                <w:color w:val="000000"/>
              </w:rPr>
              <w:t xml:space="preserve"> </w:t>
            </w:r>
          </w:p>
          <w:p w14:paraId="693589B6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1.344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45F0F571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21.414</w:t>
            </w:r>
            <w:r>
              <w:rPr>
                <w:color w:val="000000"/>
              </w:rPr>
              <w:t xml:space="preserve"> </w:t>
            </w:r>
          </w:p>
          <w:p w14:paraId="4804C039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0.030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794F322E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21.993</w:t>
            </w:r>
            <w:r>
              <w:rPr>
                <w:color w:val="000000"/>
              </w:rPr>
              <w:t xml:space="preserve"> </w:t>
            </w:r>
          </w:p>
          <w:p w14:paraId="6E4508F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0.234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6976E2E5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19.990 </w:t>
            </w:r>
          </w:p>
          <w:p w14:paraId="10EB5751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0.797</w:t>
            </w:r>
          </w:p>
        </w:tc>
      </w:tr>
      <w:tr w:rsidR="00880BD2" w:rsidRPr="00FE6D1E" w14:paraId="315A089E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1499957B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cmnm</w:t>
            </w:r>
            <w:r w:rsidRPr="002B2748">
              <w:rPr>
                <w:b/>
                <w:bCs/>
                <w:color w:val="000000"/>
                <w:vertAlign w:val="superscript"/>
              </w:rPr>
              <w:t>5</w:t>
            </w:r>
            <w:r w:rsidRPr="005C08FE">
              <w:rPr>
                <w:b/>
                <w:bCs/>
                <w:color w:val="000000"/>
              </w:rPr>
              <w:t>U</w:t>
            </w:r>
          </w:p>
        </w:tc>
        <w:tc>
          <w:tcPr>
            <w:tcW w:w="1262" w:type="dxa"/>
            <w:noWrap/>
            <w:vAlign w:val="center"/>
          </w:tcPr>
          <w:p w14:paraId="6308463B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4F7B2843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0.006</w:t>
            </w:r>
          </w:p>
          <w:p w14:paraId="42C48295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0.001</w:t>
            </w: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07D26BB8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0.008</w:t>
            </w:r>
          </w:p>
          <w:p w14:paraId="2E7B204D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0.007</w:t>
            </w:r>
          </w:p>
        </w:tc>
        <w:tc>
          <w:tcPr>
            <w:tcW w:w="1300" w:type="dxa"/>
            <w:noWrap/>
            <w:vAlign w:val="center"/>
          </w:tcPr>
          <w:p w14:paraId="4492F520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noWrap/>
            <w:vAlign w:val="center"/>
          </w:tcPr>
          <w:p w14:paraId="54D2AD95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D2" w:rsidRPr="00FE6D1E" w14:paraId="274C1E79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660966EB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D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11BE3731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1.494</w:t>
            </w:r>
            <w:r>
              <w:rPr>
                <w:color w:val="000000"/>
              </w:rPr>
              <w:t xml:space="preserve"> </w:t>
            </w:r>
          </w:p>
          <w:p w14:paraId="495802E8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0.219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50744949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>2.405</w:t>
            </w:r>
          </w:p>
          <w:p w14:paraId="182C488B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 xml:space="preserve"> ± 0.897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75E7B9DC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1.588</w:t>
            </w:r>
            <w:r>
              <w:rPr>
                <w:color w:val="000000"/>
              </w:rPr>
              <w:t xml:space="preserve"> </w:t>
            </w:r>
          </w:p>
          <w:p w14:paraId="55D2240F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0.296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79BE2618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2.831 </w:t>
            </w:r>
          </w:p>
          <w:p w14:paraId="0EC84DF9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0.516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3564089F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1.634 </w:t>
            </w:r>
          </w:p>
          <w:p w14:paraId="59AB9A52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0.368</w:t>
            </w:r>
          </w:p>
        </w:tc>
      </w:tr>
      <w:tr w:rsidR="00880BD2" w:rsidRPr="00FE6D1E" w14:paraId="6A2043A7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2E39C3E7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G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791D3461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30.849</w:t>
            </w:r>
            <w:r>
              <w:rPr>
                <w:color w:val="000000"/>
              </w:rPr>
              <w:t xml:space="preserve"> </w:t>
            </w:r>
          </w:p>
          <w:p w14:paraId="706F67AB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2.621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7CE903D4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30.360</w:t>
            </w:r>
            <w:r>
              <w:rPr>
                <w:color w:val="000000"/>
              </w:rPr>
              <w:t xml:space="preserve"> </w:t>
            </w:r>
          </w:p>
          <w:p w14:paraId="1244CDD6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1.913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74993AEB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32.161</w:t>
            </w:r>
            <w:r>
              <w:rPr>
                <w:color w:val="000000"/>
              </w:rPr>
              <w:t xml:space="preserve"> </w:t>
            </w:r>
          </w:p>
          <w:p w14:paraId="357641B5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0.201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14C38BCE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31.082</w:t>
            </w:r>
            <w:r>
              <w:rPr>
                <w:color w:val="000000"/>
              </w:rPr>
              <w:t xml:space="preserve"> </w:t>
            </w:r>
          </w:p>
          <w:p w14:paraId="2CD72984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3.178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556071F6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27.583 </w:t>
            </w:r>
          </w:p>
          <w:p w14:paraId="7000CF5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3.851</w:t>
            </w:r>
          </w:p>
        </w:tc>
      </w:tr>
      <w:tr w:rsidR="00880BD2" w:rsidRPr="00FE6D1E" w14:paraId="76D179E2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72D05D45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I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3E9706B8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</w:t>
            </w:r>
            <w:r>
              <w:rPr>
                <w:color w:val="000000"/>
              </w:rPr>
              <w:t xml:space="preserve">068 </w:t>
            </w:r>
          </w:p>
          <w:p w14:paraId="42E994FD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0.010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16058714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0.108</w:t>
            </w:r>
            <w:r>
              <w:rPr>
                <w:color w:val="000000"/>
              </w:rPr>
              <w:t xml:space="preserve"> </w:t>
            </w:r>
          </w:p>
          <w:p w14:paraId="6D1BC395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0.030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5D2B299B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0.070 </w:t>
            </w:r>
          </w:p>
          <w:p w14:paraId="5BE81086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0.015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70CED020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0.171 </w:t>
            </w:r>
          </w:p>
          <w:p w14:paraId="49134799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0.009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03AE88AF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0.069 </w:t>
            </w:r>
          </w:p>
          <w:p w14:paraId="59BE5BB8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0.019</w:t>
            </w:r>
          </w:p>
        </w:tc>
      </w:tr>
      <w:tr w:rsidR="00880BD2" w:rsidRPr="00FE6D1E" w14:paraId="73759159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5D3DBD59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i</w:t>
            </w:r>
            <w:r w:rsidRPr="002B2748">
              <w:rPr>
                <w:b/>
                <w:bCs/>
                <w:color w:val="000000"/>
                <w:vertAlign w:val="superscript"/>
              </w:rPr>
              <w:t>6</w:t>
            </w:r>
            <w:r w:rsidRPr="005C08FE">
              <w:rPr>
                <w:b/>
                <w:bCs/>
                <w:color w:val="000000"/>
              </w:rPr>
              <w:t>A</w:t>
            </w:r>
          </w:p>
        </w:tc>
        <w:tc>
          <w:tcPr>
            <w:tcW w:w="1262" w:type="dxa"/>
            <w:noWrap/>
            <w:vAlign w:val="center"/>
          </w:tcPr>
          <w:p w14:paraId="2495EF0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270098E5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0.027 </w:t>
            </w:r>
          </w:p>
          <w:p w14:paraId="5CF6547E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0.014</w:t>
            </w: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711454AA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0.007 </w:t>
            </w:r>
          </w:p>
          <w:p w14:paraId="3400F75E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0.003</w:t>
            </w:r>
          </w:p>
        </w:tc>
        <w:tc>
          <w:tcPr>
            <w:tcW w:w="1300" w:type="dxa"/>
            <w:shd w:val="clear" w:color="000000" w:fill="FF0000"/>
            <w:noWrap/>
            <w:vAlign w:val="center"/>
          </w:tcPr>
          <w:p w14:paraId="241EA37F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0.049</w:t>
            </w:r>
          </w:p>
          <w:p w14:paraId="46730A84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0.056</w:t>
            </w:r>
          </w:p>
        </w:tc>
        <w:tc>
          <w:tcPr>
            <w:tcW w:w="1300" w:type="dxa"/>
            <w:shd w:val="clear" w:color="000000" w:fill="FF0000"/>
            <w:noWrap/>
            <w:vAlign w:val="center"/>
          </w:tcPr>
          <w:p w14:paraId="46673974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</w:t>
            </w:r>
            <w:r>
              <w:rPr>
                <w:color w:val="FFFFFF"/>
              </w:rPr>
              <w:t>20</w:t>
            </w:r>
            <w:r w:rsidRPr="006435F5">
              <w:rPr>
                <w:color w:val="FFFFFF"/>
              </w:rPr>
              <w:t xml:space="preserve"> </w:t>
            </w:r>
          </w:p>
          <w:p w14:paraId="0113E645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</w:t>
            </w:r>
            <w:r>
              <w:rPr>
                <w:color w:val="FFFFFF"/>
              </w:rPr>
              <w:t xml:space="preserve"> 0.020</w:t>
            </w:r>
          </w:p>
        </w:tc>
      </w:tr>
      <w:tr w:rsidR="00880BD2" w:rsidRPr="00FE6D1E" w14:paraId="2460E882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0055EA97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7B15470B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0.248</w:t>
            </w:r>
            <w:r>
              <w:rPr>
                <w:color w:val="000000"/>
              </w:rPr>
              <w:t xml:space="preserve"> </w:t>
            </w:r>
          </w:p>
          <w:p w14:paraId="7A5366E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0.036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6CA0C34D" w14:textId="77777777" w:rsidR="00880BD2" w:rsidRPr="008407CC" w:rsidRDefault="00880BD2" w:rsidP="003540FB">
            <w:pPr>
              <w:spacing w:after="0" w:line="240" w:lineRule="auto"/>
              <w:jc w:val="center"/>
            </w:pPr>
            <w:r w:rsidRPr="008407CC">
              <w:t xml:space="preserve">0.301 </w:t>
            </w:r>
          </w:p>
          <w:p w14:paraId="6E715123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8407CC">
              <w:t>± 0.023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0C42A8C6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0.204</w:t>
            </w:r>
            <w:r>
              <w:rPr>
                <w:color w:val="000000"/>
              </w:rPr>
              <w:t xml:space="preserve"> </w:t>
            </w:r>
          </w:p>
          <w:p w14:paraId="74516D8C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0.052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72E487D8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0.406 </w:t>
            </w:r>
          </w:p>
          <w:p w14:paraId="443C7091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0.082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5DB73155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0.265 </w:t>
            </w:r>
          </w:p>
          <w:p w14:paraId="57EC6EBB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0.043</w:t>
            </w:r>
          </w:p>
        </w:tc>
      </w:tr>
      <w:tr w:rsidR="00880BD2" w:rsidRPr="00FE6D1E" w14:paraId="411FFB4C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34C47E45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712CFBFF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0.754</w:t>
            </w:r>
            <w:r>
              <w:rPr>
                <w:color w:val="000000"/>
              </w:rPr>
              <w:t xml:space="preserve"> </w:t>
            </w:r>
          </w:p>
          <w:p w14:paraId="65CC6B28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0.138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6E37D1BE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0.931 </w:t>
            </w:r>
          </w:p>
          <w:p w14:paraId="6E765BA9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0.200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4DA74320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0.712</w:t>
            </w:r>
          </w:p>
          <w:p w14:paraId="24C70FA6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± 0.134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03B011CD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1.199</w:t>
            </w:r>
          </w:p>
          <w:p w14:paraId="14A78552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0.134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79B255D4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>0.709</w:t>
            </w:r>
          </w:p>
          <w:p w14:paraId="4993AB50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 xml:space="preserve"> ± 0.162</w:t>
            </w:r>
          </w:p>
        </w:tc>
      </w:tr>
      <w:tr w:rsidR="00880BD2" w:rsidRPr="00FE6D1E" w14:paraId="5A2FB16E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02F86748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m</w:t>
            </w:r>
            <w:r w:rsidRPr="002B2748">
              <w:rPr>
                <w:b/>
                <w:bCs/>
                <w:color w:val="000000"/>
                <w:vertAlign w:val="superscript"/>
              </w:rPr>
              <w:t>1</w:t>
            </w:r>
            <w:r w:rsidRPr="00DE2997">
              <w:rPr>
                <w:b/>
                <w:bCs/>
                <w:color w:val="000000"/>
              </w:rPr>
              <w:t>Gm</w:t>
            </w:r>
            <w:r>
              <w:rPr>
                <w:b/>
                <w:bCs/>
                <w:color w:val="000000"/>
              </w:rPr>
              <w:t>, m</w:t>
            </w:r>
            <w:r w:rsidRPr="002B2748">
              <w:rPr>
                <w:b/>
                <w:bCs/>
                <w:color w:val="000000"/>
                <w:vertAlign w:val="superscript"/>
              </w:rPr>
              <w:t>2</w:t>
            </w:r>
            <w:r w:rsidRPr="002B2748"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G, m</w:t>
            </w:r>
            <w:r w:rsidRPr="002B2748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Gm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0E9EF260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0.228</w:t>
            </w:r>
            <w:r>
              <w:rPr>
                <w:color w:val="000000"/>
              </w:rPr>
              <w:t xml:space="preserve"> </w:t>
            </w:r>
          </w:p>
          <w:p w14:paraId="02C50FB8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0.031</w:t>
            </w:r>
          </w:p>
        </w:tc>
        <w:tc>
          <w:tcPr>
            <w:tcW w:w="1186" w:type="dxa"/>
            <w:shd w:val="clear" w:color="auto" w:fill="000099"/>
            <w:noWrap/>
            <w:vAlign w:val="center"/>
          </w:tcPr>
          <w:p w14:paraId="5CF8AADB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0.327 </w:t>
            </w:r>
          </w:p>
          <w:p w14:paraId="4ABF896C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0.064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3107DA5D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0.215</w:t>
            </w:r>
            <w:r>
              <w:rPr>
                <w:color w:val="000000"/>
              </w:rPr>
              <w:t xml:space="preserve"> </w:t>
            </w:r>
          </w:p>
          <w:p w14:paraId="1550EB5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0.053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5C6236DC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0.453 </w:t>
            </w:r>
          </w:p>
          <w:p w14:paraId="3EDF7B3A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0.025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1E8729BA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0.220 </w:t>
            </w:r>
          </w:p>
          <w:p w14:paraId="42588D40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0.042</w:t>
            </w:r>
          </w:p>
        </w:tc>
      </w:tr>
      <w:tr w:rsidR="00880BD2" w:rsidRPr="00FE6D1E" w14:paraId="52C6A9BE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72B6B95A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m</w:t>
            </w:r>
            <w:r w:rsidRPr="002B2748">
              <w:rPr>
                <w:b/>
                <w:bCs/>
                <w:color w:val="000000"/>
                <w:vertAlign w:val="superscript"/>
              </w:rPr>
              <w:t>1</w:t>
            </w:r>
            <w:r w:rsidRPr="005C08FE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, Im</w:t>
            </w:r>
          </w:p>
        </w:tc>
        <w:tc>
          <w:tcPr>
            <w:tcW w:w="1262" w:type="dxa"/>
            <w:noWrap/>
            <w:vAlign w:val="center"/>
          </w:tcPr>
          <w:p w14:paraId="66F19D37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noWrap/>
            <w:vAlign w:val="center"/>
          </w:tcPr>
          <w:p w14:paraId="5E2939FE" w14:textId="77777777" w:rsidR="00880BD2" w:rsidRPr="006435F5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6EA2BE81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0.001</w:t>
            </w:r>
          </w:p>
          <w:p w14:paraId="74735704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0.001</w:t>
            </w:r>
          </w:p>
        </w:tc>
        <w:tc>
          <w:tcPr>
            <w:tcW w:w="1300" w:type="dxa"/>
            <w:noWrap/>
            <w:vAlign w:val="center"/>
          </w:tcPr>
          <w:p w14:paraId="07DE33E9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noWrap/>
            <w:vAlign w:val="center"/>
          </w:tcPr>
          <w:p w14:paraId="727A2412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D2" w:rsidRPr="00FE6D1E" w14:paraId="1F1A7323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2A6ACABF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5DF0CA5E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0.705</w:t>
            </w:r>
            <w:r>
              <w:rPr>
                <w:color w:val="000000"/>
              </w:rPr>
              <w:t xml:space="preserve"> </w:t>
            </w:r>
          </w:p>
          <w:p w14:paraId="79904ED6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0.069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302D6E04" w14:textId="77777777" w:rsidR="00880BD2" w:rsidRPr="008407CC" w:rsidRDefault="00880BD2" w:rsidP="003540FB">
            <w:pPr>
              <w:spacing w:after="0" w:line="240" w:lineRule="auto"/>
              <w:jc w:val="center"/>
            </w:pPr>
            <w:r w:rsidRPr="008407CC">
              <w:t>0.941</w:t>
            </w:r>
          </w:p>
          <w:p w14:paraId="59E2561C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8407CC">
              <w:t xml:space="preserve"> ± 0.178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5B0E5506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0.624 </w:t>
            </w:r>
          </w:p>
          <w:p w14:paraId="4FE0B3C0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0.067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7A5CAE27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1.146</w:t>
            </w:r>
          </w:p>
          <w:p w14:paraId="50921377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0.038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0F019B78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0.652 </w:t>
            </w:r>
          </w:p>
          <w:p w14:paraId="4BB5F8E6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0.105</w:t>
            </w:r>
          </w:p>
        </w:tc>
      </w:tr>
      <w:tr w:rsidR="00880BD2" w:rsidRPr="00FE6D1E" w14:paraId="5F8E970F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54BFC88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m</w:t>
            </w:r>
            <w:r w:rsidRPr="002B2748">
              <w:rPr>
                <w:b/>
                <w:bCs/>
                <w:color w:val="000000"/>
                <w:vertAlign w:val="superscript"/>
              </w:rPr>
              <w:t>6</w:t>
            </w:r>
            <w:r w:rsidRPr="00DE2997">
              <w:rPr>
                <w:b/>
                <w:bCs/>
                <w:color w:val="000000"/>
              </w:rPr>
              <w:t>Am</w:t>
            </w:r>
            <w:r>
              <w:rPr>
                <w:b/>
                <w:bCs/>
                <w:color w:val="000000"/>
              </w:rPr>
              <w:t>, m</w:t>
            </w:r>
            <w:r w:rsidRPr="002B2748">
              <w:rPr>
                <w:b/>
                <w:bCs/>
                <w:color w:val="000000"/>
                <w:vertAlign w:val="superscript"/>
              </w:rPr>
              <w:t>1</w:t>
            </w:r>
            <w:r>
              <w:rPr>
                <w:b/>
                <w:bCs/>
                <w:color w:val="000000"/>
              </w:rPr>
              <w:t>Am, m</w:t>
            </w:r>
            <w:r w:rsidRPr="002B2748">
              <w:rPr>
                <w:b/>
                <w:bCs/>
                <w:color w:val="000000"/>
                <w:vertAlign w:val="superscript"/>
              </w:rPr>
              <w:t>6</w:t>
            </w:r>
            <w:r w:rsidRPr="002B2748"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5C7DA3F6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0.030</w:t>
            </w:r>
            <w:r>
              <w:rPr>
                <w:color w:val="000000"/>
              </w:rPr>
              <w:t xml:space="preserve"> </w:t>
            </w:r>
          </w:p>
          <w:p w14:paraId="5B07ECEE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0.007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5A195B1F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0.032</w:t>
            </w:r>
          </w:p>
          <w:p w14:paraId="19C9AD59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± 0.030</w:t>
            </w:r>
          </w:p>
        </w:tc>
        <w:tc>
          <w:tcPr>
            <w:tcW w:w="1186" w:type="dxa"/>
            <w:shd w:val="clear" w:color="auto" w:fill="66FFFF"/>
            <w:noWrap/>
            <w:vAlign w:val="center"/>
          </w:tcPr>
          <w:p w14:paraId="690BF730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0.013</w:t>
            </w:r>
          </w:p>
          <w:p w14:paraId="0B16CDB3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± 0.003</w:t>
            </w:r>
          </w:p>
        </w:tc>
        <w:tc>
          <w:tcPr>
            <w:tcW w:w="1300" w:type="dxa"/>
            <w:noWrap/>
            <w:vAlign w:val="center"/>
          </w:tcPr>
          <w:p w14:paraId="04DDF6AA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noWrap/>
            <w:vAlign w:val="center"/>
          </w:tcPr>
          <w:p w14:paraId="524C98CB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D2" w:rsidRPr="00FE6D1E" w14:paraId="378BD16E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7C460931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mcm</w:t>
            </w:r>
            <w:r w:rsidRPr="002B2748">
              <w:rPr>
                <w:b/>
                <w:bCs/>
                <w:color w:val="000000"/>
                <w:vertAlign w:val="superscript"/>
              </w:rPr>
              <w:t>5</w:t>
            </w:r>
            <w:r w:rsidRPr="005C08FE">
              <w:rPr>
                <w:b/>
                <w:bCs/>
                <w:color w:val="000000"/>
              </w:rPr>
              <w:t>s</w:t>
            </w:r>
            <w:r w:rsidRPr="002B2748">
              <w:rPr>
                <w:b/>
                <w:bCs/>
                <w:color w:val="000000"/>
                <w:vertAlign w:val="superscript"/>
              </w:rPr>
              <w:t>2</w:t>
            </w:r>
            <w:r w:rsidRPr="005C08FE">
              <w:rPr>
                <w:b/>
                <w:bCs/>
                <w:color w:val="000000"/>
              </w:rPr>
              <w:t>U</w:t>
            </w:r>
          </w:p>
        </w:tc>
        <w:tc>
          <w:tcPr>
            <w:tcW w:w="1262" w:type="dxa"/>
            <w:noWrap/>
            <w:vAlign w:val="center"/>
          </w:tcPr>
          <w:p w14:paraId="25DB887A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720F648B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0.013 </w:t>
            </w:r>
          </w:p>
          <w:p w14:paraId="5391197D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0.014</w:t>
            </w:r>
          </w:p>
        </w:tc>
        <w:tc>
          <w:tcPr>
            <w:tcW w:w="1186" w:type="dxa"/>
            <w:noWrap/>
            <w:vAlign w:val="center"/>
          </w:tcPr>
          <w:p w14:paraId="008BA6F5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300" w:type="dxa"/>
            <w:noWrap/>
            <w:vAlign w:val="center"/>
          </w:tcPr>
          <w:p w14:paraId="0890B09E" w14:textId="77777777" w:rsidR="00880BD2" w:rsidRPr="006435F5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</w:tcPr>
          <w:p w14:paraId="31D445F0" w14:textId="77777777" w:rsidR="00880BD2" w:rsidRPr="006435F5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880BD2" w:rsidRPr="00FE6D1E" w14:paraId="55721DB2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09EE44D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mcm</w:t>
            </w:r>
            <w:r w:rsidRPr="002B2748">
              <w:rPr>
                <w:b/>
                <w:bCs/>
                <w:color w:val="000000"/>
                <w:vertAlign w:val="superscript"/>
              </w:rPr>
              <w:t>5</w:t>
            </w:r>
            <w:r w:rsidRPr="005C08FE">
              <w:rPr>
                <w:b/>
                <w:bCs/>
                <w:color w:val="000000"/>
              </w:rPr>
              <w:t>U</w:t>
            </w:r>
          </w:p>
        </w:tc>
        <w:tc>
          <w:tcPr>
            <w:tcW w:w="1262" w:type="dxa"/>
            <w:noWrap/>
            <w:vAlign w:val="center"/>
          </w:tcPr>
          <w:p w14:paraId="14D490A1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39BD28C3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0.029</w:t>
            </w:r>
          </w:p>
          <w:p w14:paraId="28D18421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0.014</w:t>
            </w: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08C69DD0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0.014 </w:t>
            </w:r>
          </w:p>
          <w:p w14:paraId="46A0F467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0.010</w:t>
            </w:r>
          </w:p>
        </w:tc>
        <w:tc>
          <w:tcPr>
            <w:tcW w:w="1300" w:type="dxa"/>
            <w:shd w:val="clear" w:color="000000" w:fill="FF0000"/>
            <w:noWrap/>
            <w:vAlign w:val="center"/>
          </w:tcPr>
          <w:p w14:paraId="27CCE3F8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0.021</w:t>
            </w:r>
          </w:p>
          <w:p w14:paraId="7A525EAE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 0.016</w:t>
            </w:r>
          </w:p>
        </w:tc>
        <w:tc>
          <w:tcPr>
            <w:tcW w:w="1300" w:type="dxa"/>
            <w:shd w:val="clear" w:color="000000" w:fill="FF0000"/>
            <w:noWrap/>
            <w:vAlign w:val="center"/>
          </w:tcPr>
          <w:p w14:paraId="45074540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0.0</w:t>
            </w:r>
            <w:r>
              <w:rPr>
                <w:color w:val="FFFFFF"/>
              </w:rPr>
              <w:t>11</w:t>
            </w:r>
          </w:p>
          <w:p w14:paraId="42F894D2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 ±</w:t>
            </w:r>
            <w:r>
              <w:rPr>
                <w:color w:val="FFFFFF"/>
              </w:rPr>
              <w:t xml:space="preserve"> 0.009</w:t>
            </w:r>
          </w:p>
        </w:tc>
      </w:tr>
      <w:tr w:rsidR="00880BD2" w:rsidRPr="00FE6D1E" w14:paraId="2ED966CF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15EA149A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ncm</w:t>
            </w:r>
            <w:r w:rsidRPr="002B2748">
              <w:rPr>
                <w:b/>
                <w:bCs/>
                <w:color w:val="000000"/>
                <w:vertAlign w:val="superscript"/>
              </w:rPr>
              <w:t>5</w:t>
            </w:r>
            <w:r w:rsidRPr="005C08FE">
              <w:rPr>
                <w:b/>
                <w:bCs/>
                <w:color w:val="000000"/>
              </w:rPr>
              <w:t>U</w:t>
            </w:r>
          </w:p>
        </w:tc>
        <w:tc>
          <w:tcPr>
            <w:tcW w:w="1262" w:type="dxa"/>
            <w:noWrap/>
            <w:vAlign w:val="center"/>
          </w:tcPr>
          <w:p w14:paraId="502510BE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noWrap/>
            <w:vAlign w:val="center"/>
          </w:tcPr>
          <w:p w14:paraId="390016BA" w14:textId="77777777" w:rsidR="00880BD2" w:rsidRPr="006435F5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186" w:type="dxa"/>
            <w:shd w:val="clear" w:color="000000" w:fill="FF0000"/>
            <w:noWrap/>
            <w:vAlign w:val="center"/>
          </w:tcPr>
          <w:p w14:paraId="53749EE8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0.026 </w:t>
            </w:r>
          </w:p>
          <w:p w14:paraId="3C01131B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0.017</w:t>
            </w:r>
          </w:p>
        </w:tc>
        <w:tc>
          <w:tcPr>
            <w:tcW w:w="1300" w:type="dxa"/>
            <w:shd w:val="clear" w:color="000000" w:fill="FF0000"/>
            <w:noWrap/>
            <w:vAlign w:val="center"/>
          </w:tcPr>
          <w:p w14:paraId="1046D112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0.031 </w:t>
            </w:r>
          </w:p>
          <w:p w14:paraId="07CF665A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A9630C2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880BD2" w:rsidRPr="00FE6D1E" w14:paraId="5A26A384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6549CEFD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Um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5B96BE2A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0.740</w:t>
            </w:r>
            <w:r>
              <w:rPr>
                <w:color w:val="000000"/>
              </w:rPr>
              <w:t xml:space="preserve"> </w:t>
            </w:r>
          </w:p>
          <w:p w14:paraId="410A2D92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0.141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3E830B7D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0.976 </w:t>
            </w:r>
          </w:p>
          <w:p w14:paraId="445C7EE5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>± 0.285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2B7CF1C8" w14:textId="77777777" w:rsidR="00880BD2" w:rsidRDefault="00880BD2" w:rsidP="003540FB">
            <w:pPr>
              <w:spacing w:after="0" w:line="240" w:lineRule="auto"/>
              <w:jc w:val="center"/>
            </w:pPr>
            <w:r>
              <w:t>0.668</w:t>
            </w:r>
          </w:p>
          <w:p w14:paraId="73545048" w14:textId="77777777" w:rsidR="00880BD2" w:rsidRPr="00105D8E" w:rsidRDefault="00880BD2" w:rsidP="003540FB">
            <w:pPr>
              <w:spacing w:after="0" w:line="240" w:lineRule="auto"/>
              <w:jc w:val="center"/>
            </w:pPr>
            <w:r>
              <w:t xml:space="preserve"> ± 0.06</w:t>
            </w:r>
            <w:r w:rsidRPr="00105D8E">
              <w:t>8</w:t>
            </w:r>
          </w:p>
        </w:tc>
        <w:tc>
          <w:tcPr>
            <w:tcW w:w="1300" w:type="dxa"/>
            <w:shd w:val="clear" w:color="auto" w:fill="000099"/>
            <w:noWrap/>
            <w:vAlign w:val="center"/>
          </w:tcPr>
          <w:p w14:paraId="0498D711" w14:textId="77777777" w:rsidR="00880BD2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 xml:space="preserve">1.095 </w:t>
            </w:r>
          </w:p>
          <w:p w14:paraId="767F52DB" w14:textId="77777777" w:rsidR="00880BD2" w:rsidRPr="006435F5" w:rsidRDefault="00880BD2" w:rsidP="003540FB">
            <w:pPr>
              <w:spacing w:after="0" w:line="240" w:lineRule="auto"/>
              <w:jc w:val="center"/>
              <w:rPr>
                <w:color w:val="FFFFFF"/>
              </w:rPr>
            </w:pPr>
            <w:r w:rsidRPr="006435F5">
              <w:rPr>
                <w:color w:val="FFFFFF"/>
              </w:rPr>
              <w:t>± 0.091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0D9A97CB" w14:textId="77777777" w:rsidR="00880BD2" w:rsidRDefault="00880BD2" w:rsidP="003540FB">
            <w:pPr>
              <w:spacing w:after="0" w:line="240" w:lineRule="auto"/>
              <w:jc w:val="center"/>
            </w:pPr>
            <w:r w:rsidRPr="00105D8E">
              <w:t xml:space="preserve">0.678 </w:t>
            </w:r>
          </w:p>
          <w:p w14:paraId="7EBE0083" w14:textId="77777777" w:rsidR="00880BD2" w:rsidRPr="00105D8E" w:rsidRDefault="00880BD2" w:rsidP="003540FB">
            <w:pPr>
              <w:spacing w:after="0" w:line="240" w:lineRule="auto"/>
              <w:jc w:val="center"/>
            </w:pPr>
            <w:r w:rsidRPr="00105D8E">
              <w:t xml:space="preserve">± 0.109 </w:t>
            </w:r>
          </w:p>
        </w:tc>
      </w:tr>
      <w:tr w:rsidR="00880BD2" w:rsidRPr="00FE6D1E" w14:paraId="449874B0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175BD799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E2997">
              <w:rPr>
                <w:b/>
                <w:bCs/>
                <w:color w:val="000000"/>
              </w:rPr>
              <w:t>Y</w:t>
            </w:r>
            <w:r>
              <w:rPr>
                <w:b/>
                <w:bCs/>
                <w:color w:val="000000"/>
              </w:rPr>
              <w:t>,U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396AB77D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25.002</w:t>
            </w:r>
            <w:r>
              <w:rPr>
                <w:color w:val="000000"/>
              </w:rPr>
              <w:t xml:space="preserve"> </w:t>
            </w:r>
          </w:p>
          <w:p w14:paraId="4E0E0502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2.189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0AE30C53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25.712</w:t>
            </w:r>
            <w:r>
              <w:rPr>
                <w:color w:val="000000"/>
              </w:rPr>
              <w:t xml:space="preserve"> </w:t>
            </w:r>
          </w:p>
          <w:p w14:paraId="435C8386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1.413</w:t>
            </w:r>
          </w:p>
        </w:tc>
        <w:tc>
          <w:tcPr>
            <w:tcW w:w="1186" w:type="dxa"/>
            <w:shd w:val="clear" w:color="auto" w:fill="00B0F0"/>
            <w:noWrap/>
            <w:vAlign w:val="center"/>
          </w:tcPr>
          <w:p w14:paraId="4F2E8E6F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25.710</w:t>
            </w:r>
            <w:r>
              <w:rPr>
                <w:color w:val="000000"/>
              </w:rPr>
              <w:t xml:space="preserve"> </w:t>
            </w:r>
          </w:p>
          <w:p w14:paraId="481B2199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0.674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53E4CC4A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23.112</w:t>
            </w:r>
            <w:r>
              <w:rPr>
                <w:color w:val="000000"/>
              </w:rPr>
              <w:t xml:space="preserve"> </w:t>
            </w:r>
          </w:p>
          <w:p w14:paraId="0B7E0755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1.605</w:t>
            </w:r>
          </w:p>
        </w:tc>
        <w:tc>
          <w:tcPr>
            <w:tcW w:w="1300" w:type="dxa"/>
            <w:shd w:val="clear" w:color="auto" w:fill="00B0F0"/>
            <w:noWrap/>
            <w:vAlign w:val="center"/>
          </w:tcPr>
          <w:p w14:paraId="7CEBF030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6.371 </w:t>
            </w:r>
          </w:p>
          <w:p w14:paraId="026A5701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1.525</w:t>
            </w:r>
          </w:p>
        </w:tc>
      </w:tr>
      <w:tr w:rsidR="00880BD2" w:rsidRPr="00FE6D1E" w14:paraId="45694B76" w14:textId="77777777" w:rsidTr="003540FB">
        <w:trPr>
          <w:trHeight w:val="300"/>
          <w:jc w:val="center"/>
        </w:trPr>
        <w:tc>
          <w:tcPr>
            <w:tcW w:w="2138" w:type="dxa"/>
            <w:noWrap/>
            <w:vAlign w:val="center"/>
          </w:tcPr>
          <w:p w14:paraId="27C16E0A" w14:textId="77777777" w:rsidR="00880BD2" w:rsidRPr="005C08FE" w:rsidRDefault="00880BD2" w:rsidP="003540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C08FE">
              <w:rPr>
                <w:b/>
                <w:bCs/>
                <w:color w:val="000000"/>
              </w:rPr>
              <w:t>yW</w:t>
            </w:r>
          </w:p>
        </w:tc>
        <w:tc>
          <w:tcPr>
            <w:tcW w:w="1262" w:type="dxa"/>
            <w:shd w:val="clear" w:color="auto" w:fill="00B0F0"/>
            <w:noWrap/>
            <w:vAlign w:val="center"/>
          </w:tcPr>
          <w:p w14:paraId="42A747E7" w14:textId="77777777" w:rsidR="00880BD2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 w:rsidRPr="005C08FE">
              <w:rPr>
                <w:color w:val="000000"/>
              </w:rPr>
              <w:t>0.017</w:t>
            </w:r>
          </w:p>
          <w:p w14:paraId="267E53B1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± 0.002</w:t>
            </w:r>
          </w:p>
        </w:tc>
        <w:tc>
          <w:tcPr>
            <w:tcW w:w="1186" w:type="dxa"/>
            <w:noWrap/>
            <w:vAlign w:val="center"/>
          </w:tcPr>
          <w:p w14:paraId="575D80EB" w14:textId="77777777" w:rsidR="00880BD2" w:rsidRPr="005C08FE" w:rsidRDefault="00880BD2" w:rsidP="003540F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6" w:type="dxa"/>
            <w:noWrap/>
            <w:vAlign w:val="center"/>
          </w:tcPr>
          <w:p w14:paraId="3927AC7C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</w:tcPr>
          <w:p w14:paraId="4210E737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center"/>
          </w:tcPr>
          <w:p w14:paraId="1D82FE7A" w14:textId="77777777" w:rsidR="00880BD2" w:rsidRPr="005C08FE" w:rsidRDefault="00880BD2" w:rsidP="0035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80D018" w14:textId="77777777" w:rsidR="00880BD2" w:rsidRDefault="00880BD2" w:rsidP="00880BD2">
      <w:pPr>
        <w:rPr>
          <w:rFonts w:ascii="Arial" w:hAnsi="Arial" w:cs="Arial"/>
          <w:b/>
        </w:rPr>
      </w:pPr>
    </w:p>
    <w:p w14:paraId="2FBC2DF1" w14:textId="57F1ADC6" w:rsidR="003C3D74" w:rsidRDefault="00880BD2" w:rsidP="00880BD2">
      <w:r>
        <w:rPr>
          <w:rFonts w:ascii="Arial" w:hAnsi="Arial" w:cs="Arial"/>
          <w:b/>
        </w:rPr>
        <w:lastRenderedPageBreak/>
        <w:t>S</w:t>
      </w:r>
      <w:r w:rsidR="00BA28A3">
        <w:rPr>
          <w:rFonts w:ascii="Arial" w:hAnsi="Arial" w:cs="Arial"/>
          <w:b/>
        </w:rPr>
        <w:t>1</w:t>
      </w:r>
      <w:bookmarkStart w:id="0" w:name="_GoBack"/>
      <w:bookmarkEnd w:id="0"/>
      <w:r w:rsidRPr="00A5662E">
        <w:rPr>
          <w:rFonts w:ascii="Arial" w:hAnsi="Arial" w:cs="Arial"/>
          <w:b/>
        </w:rPr>
        <w:t xml:space="preserve"> Table. Post-transcriptional RNA modifications, unchallenged. </w:t>
      </w:r>
      <w:r w:rsidRPr="00A5662E">
        <w:rPr>
          <w:rFonts w:ascii="Arial" w:hAnsi="Arial" w:cs="Arial"/>
        </w:rPr>
        <w:t xml:space="preserve">The relative abundance of post-transcriptional RNA modifications (PTMs) in unchallenged wildtype (BY4741) and </w:t>
      </w:r>
      <w:r w:rsidRPr="00A5662E">
        <w:rPr>
          <w:rFonts w:ascii="Arial" w:hAnsi="Arial" w:cs="Arial"/>
          <w:i/>
        </w:rPr>
        <w:t>trm</w:t>
      </w:r>
      <w:r w:rsidRPr="00A5662E">
        <w:rPr>
          <w:rFonts w:ascii="Arial" w:hAnsi="Arial" w:cs="Arial"/>
        </w:rPr>
        <w:t xml:space="preserve"> mutants (i.e., UT: untreated). The </w:t>
      </w:r>
      <w:r>
        <w:rPr>
          <w:rFonts w:ascii="Arial" w:hAnsi="Arial" w:cs="Arial"/>
        </w:rPr>
        <w:t xml:space="preserve">average </w:t>
      </w:r>
      <w:r w:rsidRPr="00A5662E">
        <w:rPr>
          <w:rFonts w:ascii="Arial" w:hAnsi="Arial" w:cs="Arial"/>
        </w:rPr>
        <w:t>numerical values of each PTM were calculated using the Abun</w:t>
      </w:r>
      <w:r>
        <w:rPr>
          <w:rFonts w:ascii="Arial" w:hAnsi="Arial" w:cs="Arial"/>
        </w:rPr>
        <w:t xml:space="preserve">dance versus Proxy method </w:t>
      </w:r>
      <w:r w:rsidRPr="00195A3F">
        <w:rPr>
          <w:rFonts w:ascii="Arial" w:hAnsi="Arial" w:cs="Arial"/>
        </w:rPr>
        <w:t>(AvP) from three independent samples</w:t>
      </w:r>
      <w:r>
        <w:rPr>
          <w:rFonts w:ascii="Arial" w:hAnsi="Arial" w:cs="Arial"/>
        </w:rPr>
        <w:t>, as described in the methods section</w:t>
      </w:r>
      <w:r w:rsidRPr="00195A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standard deviation associated with these values is shown in parenthesis. </w:t>
      </w:r>
      <w:r>
        <w:rPr>
          <w:rFonts w:ascii="Arial" w:hAnsi="Arial" w:cs="Arial"/>
          <w:color w:val="000000"/>
          <w:shd w:val="clear" w:color="auto" w:fill="FFFFFF"/>
        </w:rPr>
        <w:t xml:space="preserve">The cyan blue shade </w:t>
      </w:r>
      <w:r w:rsidRPr="00195A3F">
        <w:rPr>
          <w:rFonts w:ascii="Arial" w:hAnsi="Arial" w:cs="Arial"/>
          <w:color w:val="000000"/>
          <w:shd w:val="clear" w:color="auto" w:fill="FFFFFF"/>
        </w:rPr>
        <w:t>indicates a down-regulation from the BY4741 UT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195A3F">
        <w:rPr>
          <w:rFonts w:ascii="Arial" w:hAnsi="Arial" w:cs="Arial"/>
          <w:color w:val="000000"/>
          <w:shd w:val="clear" w:color="auto" w:fill="FFFFFF"/>
        </w:rPr>
        <w:t xml:space="preserve"> while the dark blue indicates an up-regulation with 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195A3F">
        <w:rPr>
          <w:rFonts w:ascii="Arial" w:hAnsi="Arial" w:cs="Arial"/>
          <w:color w:val="000000"/>
          <w:shd w:val="clear" w:color="auto" w:fill="FFFFFF"/>
        </w:rPr>
        <w:t xml:space="preserve">95% confidence that </w:t>
      </w:r>
      <w:r>
        <w:rPr>
          <w:rFonts w:ascii="Arial" w:hAnsi="Arial" w:cs="Arial"/>
          <w:color w:val="000000"/>
          <w:shd w:val="clear" w:color="auto" w:fill="FFFFFF"/>
        </w:rPr>
        <w:t>the values are</w:t>
      </w:r>
      <w:r w:rsidRPr="00195A3F">
        <w:rPr>
          <w:rFonts w:ascii="Arial" w:hAnsi="Arial" w:cs="Arial"/>
          <w:color w:val="000000"/>
          <w:shd w:val="clear" w:color="auto" w:fill="FFFFFF"/>
        </w:rPr>
        <w:t xml:space="preserve"> significantly different</w:t>
      </w:r>
      <w:r>
        <w:rPr>
          <w:rFonts w:ascii="Arial" w:hAnsi="Arial" w:cs="Arial"/>
          <w:color w:val="000000"/>
          <w:shd w:val="clear" w:color="auto" w:fill="FFFFFF"/>
        </w:rPr>
        <w:t xml:space="preserve"> (Student t-test, n=3, P&lt;0.05)</w:t>
      </w:r>
      <w:r w:rsidRPr="00195A3F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Arial" w:hAnsi="Arial" w:cs="Arial"/>
        </w:rPr>
        <w:t xml:space="preserve"> </w:t>
      </w:r>
      <w:r w:rsidRPr="00A5662E">
        <w:rPr>
          <w:rFonts w:ascii="Arial" w:hAnsi="Arial" w:cs="Arial"/>
        </w:rPr>
        <w:t>PTM values below detect</w:t>
      </w:r>
      <w:r>
        <w:rPr>
          <w:rFonts w:ascii="Arial" w:hAnsi="Arial" w:cs="Arial"/>
        </w:rPr>
        <w:t xml:space="preserve">able levels </w:t>
      </w:r>
      <w:r w:rsidRPr="00A5662E">
        <w:rPr>
          <w:rFonts w:ascii="Arial" w:hAnsi="Arial" w:cs="Arial"/>
        </w:rPr>
        <w:t>a</w:t>
      </w:r>
      <w:r>
        <w:rPr>
          <w:rFonts w:ascii="Arial" w:hAnsi="Arial" w:cs="Arial"/>
        </w:rPr>
        <w:t>re indicated by the empty cells; r</w:t>
      </w:r>
      <w:r w:rsidRPr="00195A3F">
        <w:rPr>
          <w:rFonts w:ascii="Arial" w:hAnsi="Arial" w:cs="Arial"/>
          <w:color w:val="000000"/>
          <w:shd w:val="clear" w:color="auto" w:fill="FFFFFF"/>
        </w:rPr>
        <w:t>ed shaded cells indicate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5A3F">
        <w:rPr>
          <w:rFonts w:ascii="Arial" w:hAnsi="Arial" w:cs="Arial"/>
          <w:color w:val="000000"/>
          <w:shd w:val="clear" w:color="auto" w:fill="FFFFFF"/>
        </w:rPr>
        <w:t>PTM</w:t>
      </w:r>
      <w:r>
        <w:rPr>
          <w:rFonts w:ascii="Arial" w:hAnsi="Arial" w:cs="Arial"/>
          <w:color w:val="000000"/>
          <w:shd w:val="clear" w:color="auto" w:fill="FFFFFF"/>
        </w:rPr>
        <w:t>s that were</w:t>
      </w:r>
      <w:r w:rsidRPr="00195A3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detectable in some strains but </w:t>
      </w:r>
      <w:r w:rsidRPr="00195A3F">
        <w:rPr>
          <w:rFonts w:ascii="Arial" w:hAnsi="Arial" w:cs="Arial"/>
          <w:color w:val="000000"/>
          <w:shd w:val="clear" w:color="auto" w:fill="FFFFFF"/>
        </w:rPr>
        <w:t>not observed in the BY4741 UT</w:t>
      </w:r>
      <w:r>
        <w:rPr>
          <w:rFonts w:ascii="Arial" w:hAnsi="Arial" w:cs="Arial"/>
          <w:color w:val="000000"/>
          <w:shd w:val="clear" w:color="auto" w:fill="FFFFFF"/>
        </w:rPr>
        <w:t xml:space="preserve"> (assigned a value of zero). </w:t>
      </w:r>
      <w:r w:rsidRPr="00A5662E">
        <w:rPr>
          <w:rFonts w:ascii="Arial" w:hAnsi="Arial" w:cs="Arial"/>
          <w:b/>
        </w:rPr>
        <w:br w:type="page"/>
      </w:r>
    </w:p>
    <w:sectPr w:rsidR="003C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D2"/>
    <w:rsid w:val="003C3D74"/>
    <w:rsid w:val="00880BD2"/>
    <w:rsid w:val="00B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6096"/>
  <w15:docId w15:val="{83DA1595-E075-4458-8B37-5BF3CC5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D2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Shankar Kanthan</cp:lastModifiedBy>
  <cp:revision>2</cp:revision>
  <dcterms:created xsi:type="dcterms:W3CDTF">2020-02-05T13:37:00Z</dcterms:created>
  <dcterms:modified xsi:type="dcterms:W3CDTF">2020-02-07T01:22:00Z</dcterms:modified>
</cp:coreProperties>
</file>