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5A" w:rsidRPr="008C62BA" w:rsidRDefault="009C065A" w:rsidP="009C065A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8C62BA">
        <w:rPr>
          <w:rFonts w:ascii="Calibri" w:hAnsi="Calibri" w:cs="Calibri"/>
          <w:b/>
          <w:sz w:val="20"/>
          <w:szCs w:val="20"/>
        </w:rPr>
        <w:t>S6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C62BA">
        <w:rPr>
          <w:rFonts w:ascii="Calibri" w:hAnsi="Calibri" w:cs="Calibri"/>
          <w:b/>
          <w:sz w:val="20"/>
          <w:szCs w:val="20"/>
        </w:rPr>
        <w:t>Table</w:t>
      </w:r>
      <w:bookmarkStart w:id="0" w:name="_GoBack"/>
      <w:bookmarkEnd w:id="0"/>
      <w:r w:rsidRPr="008C62BA">
        <w:rPr>
          <w:rFonts w:ascii="Calibri" w:hAnsi="Calibri" w:cs="Calibri"/>
          <w:b/>
          <w:sz w:val="20"/>
          <w:szCs w:val="20"/>
        </w:rPr>
        <w:t>. Adjusted multivariate associations with H-AECOPD rate, by exacerbation history.</w:t>
      </w:r>
    </w:p>
    <w:tbl>
      <w:tblPr>
        <w:tblStyle w:val="TableGrid"/>
        <w:tblW w:w="126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3016"/>
        <w:gridCol w:w="1140"/>
        <w:gridCol w:w="3016"/>
        <w:gridCol w:w="1140"/>
      </w:tblGrid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312" w:type="dxa"/>
            <w:gridSpan w:val="4"/>
            <w:shd w:val="clear" w:color="auto" w:fill="auto"/>
          </w:tcPr>
          <w:p w:rsidR="009C065A" w:rsidRPr="008C62BA" w:rsidRDefault="009C065A" w:rsidP="0054087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 xml:space="preserve">5 year (n = 291 individuals with </w:t>
            </w:r>
            <w:r>
              <w:rPr>
                <w:rFonts w:ascii="Calibri" w:hAnsi="Calibri" w:cs="Calibri"/>
                <w:sz w:val="16"/>
                <w:szCs w:val="16"/>
              </w:rPr>
              <w:t>H-AECOPD</w:t>
            </w:r>
            <w:r w:rsidRPr="008C62B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Exacerbation history (n = 473)</w:t>
            </w:r>
          </w:p>
        </w:tc>
        <w:tc>
          <w:tcPr>
            <w:tcW w:w="4156" w:type="dxa"/>
            <w:gridSpan w:val="2"/>
          </w:tcPr>
          <w:p w:rsidR="009C065A" w:rsidRPr="008C62BA" w:rsidRDefault="009C065A" w:rsidP="005408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No exacerbation history (n = 236)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Baseline Characteristics</w:t>
            </w:r>
          </w:p>
        </w:tc>
        <w:tc>
          <w:tcPr>
            <w:tcW w:w="3016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 xml:space="preserve">Incidence risk ratio (95% CI) </w:t>
            </w:r>
            <w:r w:rsidRPr="008C62BA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vertAlign w:val="superscript"/>
              </w:rPr>
            </w:pPr>
            <w:r w:rsidRPr="008C62B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P </w:t>
            </w:r>
            <w:r w:rsidRPr="008C62BA">
              <w:rPr>
                <w:rFonts w:ascii="Calibri" w:hAnsi="Calibri" w:cs="Calibri"/>
                <w:b/>
                <w:sz w:val="16"/>
                <w:szCs w:val="16"/>
              </w:rPr>
              <w:t xml:space="preserve">value </w:t>
            </w:r>
            <w:r w:rsidRPr="008C62BA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16" w:type="dxa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 xml:space="preserve">Incidence risk ratio (95% CI) </w:t>
            </w:r>
            <w:r w:rsidRPr="008C62BA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40" w:type="dxa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P </w:t>
            </w:r>
            <w:r w:rsidRPr="008C62BA">
              <w:rPr>
                <w:rFonts w:ascii="Calibri" w:hAnsi="Calibri" w:cs="Calibri"/>
                <w:b/>
                <w:sz w:val="16"/>
                <w:szCs w:val="16"/>
              </w:rPr>
              <w:t xml:space="preserve">value </w:t>
            </w:r>
            <w:r w:rsidRPr="008C62BA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b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Description</w:t>
            </w:r>
          </w:p>
        </w:tc>
        <w:tc>
          <w:tcPr>
            <w:tcW w:w="3016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Age – per 10 year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Sex – male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 to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 (2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to 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Body mass index – per 1 point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Lung function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FEV</w:t>
            </w:r>
            <w:r w:rsidRPr="008C62BA">
              <w:rPr>
                <w:rFonts w:ascii="Calibri" w:hAnsi="Calibri" w:cs="Calibri"/>
                <w:sz w:val="16"/>
                <w:szCs w:val="16"/>
                <w:vertAlign w:val="subscript"/>
              </w:rPr>
              <w:t>1</w:t>
            </w:r>
            <w:r w:rsidRPr="008C62BA">
              <w:rPr>
                <w:rFonts w:ascii="Calibri" w:hAnsi="Calibri" w:cs="Calibri"/>
                <w:sz w:val="16"/>
                <w:szCs w:val="16"/>
              </w:rPr>
              <w:t xml:space="preserve"> – per 100 ml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 to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 to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 xml:space="preserve">Smoking status – current 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 to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762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GOLD stage – per increase to next stage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 to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 (2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 to 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Exacerbation history (1 year), ≥ 1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Productive cough – yes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 to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Biochemical measures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Glucose – per 1 log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to 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 to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Fibrinogen – per 1 log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 to 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 to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CRP – per 1 log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GFR – per 1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Neutrophils – per 1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Haemoglobin – per 1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Total cholesterol – per 1 unit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Cardiovascular status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Heart rate – per 1 bpm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Questionnaire data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SGRQ-C – per 4 point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CAT – per 1 point increase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C62BA">
              <w:rPr>
                <w:rFonts w:ascii="Calibri" w:hAnsi="Calibri" w:cs="Calibri"/>
                <w:b/>
                <w:sz w:val="16"/>
                <w:szCs w:val="16"/>
              </w:rPr>
              <w:t>Musculoskeletal measures</w:t>
            </w:r>
            <w:r w:rsidRPr="008C62BA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Six-minute walk distance – per 30 metre decrease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SPPB score (0-12) – per 1 point decrease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Functional limitation (SSPB) – yes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4MGS score (0-4) – per 1 point decrease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Balance score (0-4) – per 1 point decrease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Chair stand score (0-4) – per 1 point decrease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827</w:t>
            </w:r>
          </w:p>
        </w:tc>
      </w:tr>
      <w:tr w:rsidR="009C065A" w:rsidRPr="008C62BA" w:rsidTr="00540873">
        <w:tc>
          <w:tcPr>
            <w:tcW w:w="4321" w:type="dxa"/>
            <w:shd w:val="clear" w:color="auto" w:fill="auto"/>
          </w:tcPr>
          <w:p w:rsidR="009C065A" w:rsidRPr="008C62BA" w:rsidRDefault="009C065A" w:rsidP="0054087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hAnsi="Calibri" w:cs="Calibri"/>
                <w:sz w:val="16"/>
                <w:szCs w:val="16"/>
              </w:rPr>
              <w:t>QMVC peak – per 1 kg decrease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(1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3016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 (0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to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1140" w:type="dxa"/>
            <w:vAlign w:val="bottom"/>
          </w:tcPr>
          <w:p w:rsidR="009C065A" w:rsidRPr="008C62BA" w:rsidRDefault="009C065A" w:rsidP="00540873">
            <w:pPr>
              <w:rPr>
                <w:rFonts w:ascii="Calibri" w:hAnsi="Calibri" w:cs="Calibri"/>
                <w:sz w:val="16"/>
                <w:szCs w:val="16"/>
              </w:rPr>
            </w:pP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C62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895</w:t>
            </w:r>
          </w:p>
        </w:tc>
      </w:tr>
    </w:tbl>
    <w:p w:rsidR="009C065A" w:rsidRPr="008C62BA" w:rsidRDefault="009C065A" w:rsidP="009C065A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sz w:val="20"/>
          <w:szCs w:val="20"/>
        </w:rPr>
        <w:t>Incidence rate ratios were estimated based on negative binomial regression. All analyses were stratified by recruitment centre and exacerbation history.</w:t>
      </w:r>
    </w:p>
    <w:p w:rsidR="009C065A" w:rsidRPr="008C62BA" w:rsidRDefault="009C065A" w:rsidP="009C065A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sz w:val="20"/>
          <w:szCs w:val="20"/>
          <w:vertAlign w:val="superscript"/>
        </w:rPr>
        <w:t xml:space="preserve">a </w:t>
      </w:r>
      <w:r w:rsidRPr="008C62BA">
        <w:rPr>
          <w:rFonts w:ascii="Calibri" w:hAnsi="Calibri" w:cs="Calibri"/>
          <w:sz w:val="20"/>
          <w:szCs w:val="20"/>
        </w:rPr>
        <w:t>Adjusted for age, sex, body mass index, smoking status, forced expiratory volume in one second, and phlegm.</w:t>
      </w:r>
    </w:p>
    <w:p w:rsidR="009C065A" w:rsidRPr="008C62BA" w:rsidRDefault="009C065A" w:rsidP="009C065A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sz w:val="20"/>
          <w:szCs w:val="20"/>
          <w:vertAlign w:val="superscript"/>
        </w:rPr>
        <w:t>c</w:t>
      </w:r>
      <w:r w:rsidRPr="008C62BA">
        <w:rPr>
          <w:rFonts w:ascii="Calibri" w:hAnsi="Calibri" w:cs="Calibri"/>
          <w:sz w:val="20"/>
          <w:szCs w:val="20"/>
        </w:rPr>
        <w:t xml:space="preserve"> P values based on negative binomial regression.</w:t>
      </w:r>
    </w:p>
    <w:p w:rsidR="009C065A" w:rsidRPr="008C62BA" w:rsidRDefault="009C065A" w:rsidP="009C065A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sz w:val="20"/>
          <w:szCs w:val="20"/>
        </w:rPr>
        <w:t>¶ Variables MRC dyspnoea score and white cell count were omitted due to collinearity.</w:t>
      </w:r>
    </w:p>
    <w:p w:rsidR="00024D8E" w:rsidRPr="009C065A" w:rsidRDefault="009C065A" w:rsidP="009C065A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sz w:val="20"/>
          <w:szCs w:val="20"/>
        </w:rPr>
        <w:t>CI = confidence intervals. FEV</w:t>
      </w:r>
      <w:r w:rsidRPr="008C62BA">
        <w:rPr>
          <w:rFonts w:ascii="Calibri" w:hAnsi="Calibri" w:cs="Calibri"/>
          <w:sz w:val="20"/>
          <w:szCs w:val="20"/>
          <w:vertAlign w:val="subscript"/>
        </w:rPr>
        <w:t>1</w:t>
      </w:r>
      <w:r w:rsidRPr="008C62BA">
        <w:rPr>
          <w:rFonts w:ascii="Calibri" w:hAnsi="Calibri" w:cs="Calibri"/>
          <w:sz w:val="20"/>
          <w:szCs w:val="20"/>
        </w:rPr>
        <w:t xml:space="preserve"> = forced expiratory volume in one second. GOLD = global initiative for obstructive </w:t>
      </w:r>
      <w:r w:rsidRPr="008C62BA">
        <w:rPr>
          <w:rFonts w:ascii="Calibri" w:hAnsi="Calibri" w:cs="Calibri"/>
          <w:bCs/>
          <w:sz w:val="20"/>
          <w:szCs w:val="20"/>
        </w:rPr>
        <w:t xml:space="preserve">lung disease. GFR = glomerular filtration rate. SGRQ-C = St. George respiratory questionnaire for COPD. CAT = COPD assessment test. </w:t>
      </w:r>
      <w:r w:rsidRPr="008C62BA">
        <w:rPr>
          <w:rFonts w:ascii="Calibri" w:hAnsi="Calibri" w:cs="Calibri"/>
          <w:sz w:val="20"/>
          <w:szCs w:val="20"/>
        </w:rPr>
        <w:t>6MWT = six-minute walk test. SPPB = short physical performance battery. 4MGS = four-metre gait speed. QMVC = quadriceps maximum voluntary contraction.</w:t>
      </w:r>
    </w:p>
    <w:sectPr w:rsidR="00024D8E" w:rsidRPr="009C065A" w:rsidSect="009C065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A"/>
    <w:rsid w:val="00024D8E"/>
    <w:rsid w:val="000E4EE1"/>
    <w:rsid w:val="001C00E5"/>
    <w:rsid w:val="001F0CAA"/>
    <w:rsid w:val="00283E4A"/>
    <w:rsid w:val="00424CFF"/>
    <w:rsid w:val="004C466A"/>
    <w:rsid w:val="006B6E11"/>
    <w:rsid w:val="006E627E"/>
    <w:rsid w:val="00705A8A"/>
    <w:rsid w:val="00723CE5"/>
    <w:rsid w:val="009C065A"/>
    <w:rsid w:val="00A259C3"/>
    <w:rsid w:val="00AE2368"/>
    <w:rsid w:val="00AE7896"/>
    <w:rsid w:val="00AF033E"/>
    <w:rsid w:val="00B9220F"/>
    <w:rsid w:val="00BA5587"/>
    <w:rsid w:val="00C97AC3"/>
    <w:rsid w:val="00CC2EC9"/>
    <w:rsid w:val="00D75BD8"/>
    <w:rsid w:val="00DB7930"/>
    <w:rsid w:val="00EC0B03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6F143"/>
  <w15:chartTrackingRefBased/>
  <w15:docId w15:val="{E5C3EF16-F91C-374A-A714-AF23C9B6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Jilles Fermont</dc:creator>
  <cp:keywords/>
  <dc:description/>
  <cp:lastModifiedBy>Jilles Fermont</cp:lastModifiedBy>
  <cp:revision>1</cp:revision>
  <dcterms:created xsi:type="dcterms:W3CDTF">2019-11-19T18:55:00Z</dcterms:created>
  <dcterms:modified xsi:type="dcterms:W3CDTF">2019-11-19T18:56:00Z</dcterms:modified>
</cp:coreProperties>
</file>