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62" w:rsidRDefault="00520FB1" w:rsidP="00520FB1">
      <w:pPr>
        <w:rPr>
          <w:b/>
          <w:lang w:val="en-GB"/>
        </w:rPr>
      </w:pPr>
      <w:r>
        <w:rPr>
          <w:b/>
          <w:lang w:val="en-GB"/>
        </w:rPr>
        <w:t xml:space="preserve">S1 Table. </w:t>
      </w:r>
      <w:r w:rsidR="00506262" w:rsidRPr="000942DD">
        <w:rPr>
          <w:b/>
          <w:lang w:val="en-GB"/>
        </w:rPr>
        <w:t>Calculation of pharmaceutical costs</w:t>
      </w:r>
      <w:r w:rsidR="00C86EF6">
        <w:rPr>
          <w:b/>
          <w:lang w:val="en-GB"/>
        </w:rPr>
        <w:t>.</w:t>
      </w:r>
    </w:p>
    <w:tbl>
      <w:tblPr>
        <w:tblW w:w="13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84"/>
        <w:gridCol w:w="1047"/>
        <w:gridCol w:w="803"/>
        <w:gridCol w:w="684"/>
        <w:gridCol w:w="820"/>
        <w:gridCol w:w="1063"/>
        <w:gridCol w:w="1063"/>
        <w:gridCol w:w="799"/>
        <w:gridCol w:w="733"/>
        <w:gridCol w:w="707"/>
        <w:gridCol w:w="560"/>
        <w:gridCol w:w="1299"/>
        <w:gridCol w:w="667"/>
        <w:gridCol w:w="920"/>
        <w:gridCol w:w="592"/>
      </w:tblGrid>
      <w:tr w:rsidR="00506262" w:rsidRPr="000942DD" w:rsidTr="00520FB1">
        <w:trPr>
          <w:trHeight w:val="612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Trade name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Class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Substance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Biosimilar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mg per </w:t>
            </w: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br/>
              <w:t>package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Pharmacy </w:t>
            </w: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br/>
              <w:t>retail price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Manufacturer price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Manufacturer discount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Pharmacy discount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Co-</w:t>
            </w: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br/>
              <w:t>payment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Costs </w:t>
            </w: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br/>
              <w:t>per package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Costs </w:t>
            </w: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br/>
              <w:t>per mg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Dosing recommendation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mg </w:t>
            </w: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br/>
              <w:t>per year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Costs </w:t>
            </w: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br/>
              <w:t>per half-year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de-DE"/>
              </w:rPr>
              <w:t>Source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Enbrel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Etanercept</w:t>
            </w:r>
            <w:proofErr w:type="spellEnd"/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600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5,231.36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4,221.30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295.49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4,924.10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8.21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 mg per week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2,600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10,668.88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Benepali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Etanercept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4,231.35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3,405.43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238.38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3,981.20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6.64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 mg per week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8,625.93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Erelzi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Etanercept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4,231.35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3,405.43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238.38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3,981.20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6.64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 mg per week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8,625.93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Humira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Adalimumab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5,231.36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4,221.30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295.49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4,924.10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20.52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40 mg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every 2 weeks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10,668.88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6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Remicade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Infliximab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4,674.97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3,767.36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263.72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4,399.48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8.80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3 mg per kg every 8 weeks: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 xml:space="preserve">0.75*68.4kg*3mg +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>0.25*84.3kg*3mg = 217 mg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6,205.47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6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Flixabi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Infliximab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4,157.29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3,345.01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234.15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3,911.37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7.82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3 mg per kg every 8 weeks: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 xml:space="preserve">0.75*68.4kg*3mg +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>0.25*84.3kg*3mg = 217 mg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5,516.99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6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Inflectra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Infliximab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3,506.19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2,813.80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196.97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3,297.45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6.59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3 mg per kg every 8 weeks: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 xml:space="preserve">0.75*68.4kg*3mg +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>0.25*84.3kg*3mg = 217 mg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4,651.06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6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Remsima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Infliximab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3,752.81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3,015.01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21</w:t>
            </w:r>
            <w:bookmarkStart w:id="0" w:name="_GoBack"/>
            <w:bookmarkEnd w:id="0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3,529.99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7.06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3 mg per kg every 8 weeks: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 xml:space="preserve">0.75*68.4kg*3mg + 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br/>
              <w:t>0.25*84.3kg*3mg = 217 mg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4,979.05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Kineret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Anakinra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1,053.75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824.77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57.73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984.25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100 mg per day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36,500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6,415.18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[2]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Cimzia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Certolizumab</w:t>
            </w:r>
            <w:proofErr w:type="spellEnd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pegol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4,610.45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3,714.72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260.03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4,338.65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3.62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200 mg every 2 weeks</w:t>
            </w: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9,400.41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Simponi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Golimumab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5,308.97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4,284.62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299.92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4,997.28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33.32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 mg per month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9,994.55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[2]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MabThera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Rituximab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2,044.49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1,621.26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113.49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1,919.23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3.84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1000 mg per 6 month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3,838.46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Rixathon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Rituximab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3,639.19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2,922.31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204.56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3,422.86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3.42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1000 mg per 6 month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3,422.86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Truxima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Rituximab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yes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1,644.48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1,294.90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90.64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1,542.07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3.08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1000 mg per 6 month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3,084.13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lastRenderedPageBreak/>
              <w:t>Orencia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Abatacept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1,671.12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1,316.64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92.16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1,567.19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2.09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750 mg per month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9,403.11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[2]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Kevzara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Sarilumab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4,843.68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3,905.00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273.35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4,558.56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3.80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200 mg every 2 weeks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9,876.88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[2]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RoActemra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bDMARD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Tocilizumab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1,944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5,231.36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4,221.30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295.49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4,924.10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2.53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162.6 mg per week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8,455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10,708.40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Methotrexat</w:t>
            </w:r>
            <w:proofErr w:type="spellEnd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 AL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csDMARD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Methotrexate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304.24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231.95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17.63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274.84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25 mg per week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595.49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Leflunomid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csDMARD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leflunomide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2,000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280.32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213.03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268.55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20mg per day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7,300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490.10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[1]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Prednisolon</w:t>
            </w:r>
            <w:proofErr w:type="spellEnd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 Galen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other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Prednisolon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1,000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16.78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4.58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 mg per day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3,650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18.27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[3]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Ibuprofen </w:t>
            </w: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AbZ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other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Ibuprofen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80,000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16.97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4.73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10.20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1200 per day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438,000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27.92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[4]</w:t>
            </w:r>
          </w:p>
        </w:tc>
      </w:tr>
      <w:tr w:rsidR="00506262" w:rsidRPr="000942DD" w:rsidTr="00520FB1">
        <w:trPr>
          <w:trHeight w:val="204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 xml:space="preserve">Diclofenac </w:t>
            </w:r>
            <w:proofErr w:type="spellStart"/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AbZ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other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Diclofenac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14.32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2.64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1.77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5.00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7.55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262" w:rsidRPr="000942DD" w:rsidRDefault="00506262" w:rsidP="00691C1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75 mg per day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27,375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506262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0942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  <w:t>20.67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6262" w:rsidRPr="000942DD" w:rsidRDefault="00FC75B8" w:rsidP="00691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de-DE"/>
              </w:rPr>
            </w:pPr>
            <w:r w:rsidRPr="00FC75B8">
              <w:rPr>
                <w:rFonts w:ascii="Calibri" w:hAnsi="Calibri" w:cs="Calibri"/>
                <w:sz w:val="16"/>
              </w:rPr>
              <w:t>[4]</w:t>
            </w:r>
          </w:p>
        </w:tc>
      </w:tr>
    </w:tbl>
    <w:p w:rsidR="00506262" w:rsidRPr="000942DD" w:rsidRDefault="00506262" w:rsidP="00506262">
      <w:pPr>
        <w:rPr>
          <w:b/>
          <w:lang w:val="en-GB"/>
        </w:rPr>
      </w:pPr>
    </w:p>
    <w:p w:rsidR="00226823" w:rsidRPr="000942DD" w:rsidRDefault="00226823" w:rsidP="00226823">
      <w:pPr>
        <w:jc w:val="left"/>
        <w:rPr>
          <w:lang w:val="en-GB"/>
        </w:rPr>
      </w:pPr>
      <w:r w:rsidRPr="000942DD">
        <w:rPr>
          <w:lang w:val="en-GB"/>
        </w:rPr>
        <w:t xml:space="preserve">We considered two categories of direct costs in our model: pharmaceutical costs and all other direct costs. Pharmaceutical costs consisted of the average costs of (a) one </w:t>
      </w:r>
      <w:proofErr w:type="spellStart"/>
      <w:r w:rsidRPr="000942DD">
        <w:rPr>
          <w:lang w:val="en-GB"/>
        </w:rPr>
        <w:t>csDMARD</w:t>
      </w:r>
      <w:proofErr w:type="spellEnd"/>
      <w:r w:rsidRPr="000942DD">
        <w:rPr>
          <w:lang w:val="en-GB"/>
        </w:rPr>
        <w:t xml:space="preserve">, (b) one </w:t>
      </w:r>
      <w:proofErr w:type="spellStart"/>
      <w:r w:rsidRPr="000942DD">
        <w:rPr>
          <w:lang w:val="en-GB"/>
        </w:rPr>
        <w:t>bDMARD</w:t>
      </w:r>
      <w:proofErr w:type="spellEnd"/>
      <w:r w:rsidRPr="000942DD">
        <w:rPr>
          <w:lang w:val="en-GB"/>
        </w:rPr>
        <w:t xml:space="preserve"> and (c) concomitant treatment with one NSAID and one glucocorticoid. We calculated the average costs, to the payer, per milligram (mg) of the largest pack size available for each substance. </w:t>
      </w:r>
    </w:p>
    <w:p w:rsidR="00226823" w:rsidRPr="000942DD" w:rsidRDefault="00226823" w:rsidP="00226823">
      <w:pPr>
        <w:jc w:val="left"/>
        <w:rPr>
          <w:lang w:val="en-GB"/>
        </w:rPr>
      </w:pPr>
      <w:r w:rsidRPr="000942DD">
        <w:rPr>
          <w:lang w:val="en-GB"/>
        </w:rPr>
        <w:t xml:space="preserve">First, we subtracted the manufacturer discount (7%), pharmacy discount (€1.77 per package) and patient co-payment (10% of retail price, min. €5, max. €10) from the pharmacy retail price for 2017. Second, we divided the calculated costs per package by the amount of milligrams per package. The </w:t>
      </w:r>
      <w:proofErr w:type="spellStart"/>
      <w:r w:rsidRPr="000942DD">
        <w:rPr>
          <w:lang w:val="en-GB"/>
        </w:rPr>
        <w:t>bDMARDs</w:t>
      </w:r>
      <w:proofErr w:type="spellEnd"/>
      <w:r w:rsidRPr="000942DD">
        <w:rPr>
          <w:lang w:val="en-GB"/>
        </w:rPr>
        <w:t xml:space="preserve"> we considered were as follows: </w:t>
      </w:r>
      <w:proofErr w:type="spellStart"/>
      <w:r w:rsidRPr="000942DD">
        <w:rPr>
          <w:lang w:val="en-GB"/>
        </w:rPr>
        <w:t>etanercept</w:t>
      </w:r>
      <w:proofErr w:type="spellEnd"/>
      <w:r w:rsidRPr="000942DD">
        <w:rPr>
          <w:lang w:val="en-GB"/>
        </w:rPr>
        <w:t xml:space="preserve"> and two </w:t>
      </w:r>
      <w:proofErr w:type="spellStart"/>
      <w:r w:rsidRPr="000942DD">
        <w:rPr>
          <w:lang w:val="en-GB"/>
        </w:rPr>
        <w:t>biosimilars</w:t>
      </w:r>
      <w:proofErr w:type="spellEnd"/>
      <w:r w:rsidRPr="000942DD">
        <w:rPr>
          <w:lang w:val="en-GB"/>
        </w:rPr>
        <w:t xml:space="preserve"> (€8.21/€6.64/€6.64 per mg), </w:t>
      </w:r>
      <w:proofErr w:type="spellStart"/>
      <w:r w:rsidRPr="000942DD">
        <w:rPr>
          <w:lang w:val="en-GB"/>
        </w:rPr>
        <w:t>adalimumab</w:t>
      </w:r>
      <w:proofErr w:type="spellEnd"/>
      <w:r w:rsidRPr="000942DD">
        <w:rPr>
          <w:lang w:val="en-GB"/>
        </w:rPr>
        <w:t xml:space="preserve"> (€20.52 per mg), infliximab and three </w:t>
      </w:r>
      <w:proofErr w:type="spellStart"/>
      <w:r w:rsidRPr="000942DD">
        <w:rPr>
          <w:lang w:val="en-GB"/>
        </w:rPr>
        <w:t>biosimilars</w:t>
      </w:r>
      <w:proofErr w:type="spellEnd"/>
      <w:r w:rsidRPr="000942DD">
        <w:rPr>
          <w:lang w:val="en-GB"/>
        </w:rPr>
        <w:t xml:space="preserve"> (€8.80/€7.82/€7.06/€6.59 per mg), </w:t>
      </w:r>
      <w:proofErr w:type="spellStart"/>
      <w:r w:rsidRPr="000942DD">
        <w:rPr>
          <w:lang w:val="en-GB"/>
        </w:rPr>
        <w:t>anakinra</w:t>
      </w:r>
      <w:proofErr w:type="spellEnd"/>
      <w:r w:rsidRPr="000942DD">
        <w:rPr>
          <w:lang w:val="en-GB"/>
        </w:rPr>
        <w:t xml:space="preserve"> (€0.35 per mg), </w:t>
      </w:r>
      <w:proofErr w:type="spellStart"/>
      <w:r w:rsidRPr="000942DD">
        <w:rPr>
          <w:lang w:val="en-GB"/>
        </w:rPr>
        <w:t>certolizumab</w:t>
      </w:r>
      <w:proofErr w:type="spellEnd"/>
      <w:r w:rsidRPr="000942DD">
        <w:rPr>
          <w:lang w:val="en-GB"/>
        </w:rPr>
        <w:t xml:space="preserve"> </w:t>
      </w:r>
      <w:proofErr w:type="spellStart"/>
      <w:r w:rsidRPr="000942DD">
        <w:rPr>
          <w:lang w:val="en-GB"/>
        </w:rPr>
        <w:t>pegol</w:t>
      </w:r>
      <w:proofErr w:type="spellEnd"/>
      <w:r w:rsidRPr="000942DD">
        <w:rPr>
          <w:lang w:val="en-GB"/>
        </w:rPr>
        <w:t xml:space="preserve"> (€3.62 per mg), </w:t>
      </w:r>
      <w:proofErr w:type="spellStart"/>
      <w:r w:rsidRPr="000942DD">
        <w:rPr>
          <w:lang w:val="en-GB"/>
        </w:rPr>
        <w:t>golimumab</w:t>
      </w:r>
      <w:proofErr w:type="spellEnd"/>
      <w:r w:rsidRPr="000942DD">
        <w:rPr>
          <w:lang w:val="en-GB"/>
        </w:rPr>
        <w:t xml:space="preserve"> (€33.32 per mg), rituximab and two </w:t>
      </w:r>
      <w:proofErr w:type="spellStart"/>
      <w:r w:rsidRPr="000942DD">
        <w:rPr>
          <w:lang w:val="en-GB"/>
        </w:rPr>
        <w:t>biosimilars</w:t>
      </w:r>
      <w:proofErr w:type="spellEnd"/>
      <w:r w:rsidRPr="000942DD">
        <w:rPr>
          <w:lang w:val="en-GB"/>
        </w:rPr>
        <w:t xml:space="preserve"> (€3.84/€3.42/€3.08 per mg), </w:t>
      </w:r>
      <w:proofErr w:type="spellStart"/>
      <w:r w:rsidRPr="000942DD">
        <w:rPr>
          <w:lang w:val="en-GB"/>
        </w:rPr>
        <w:t>abatacept</w:t>
      </w:r>
      <w:proofErr w:type="spellEnd"/>
      <w:r w:rsidRPr="000942DD">
        <w:rPr>
          <w:lang w:val="en-GB"/>
        </w:rPr>
        <w:t xml:space="preserve"> (€2.09 per mg), </w:t>
      </w:r>
      <w:proofErr w:type="spellStart"/>
      <w:r w:rsidRPr="000942DD">
        <w:rPr>
          <w:lang w:val="en-GB"/>
        </w:rPr>
        <w:t>sarilumab</w:t>
      </w:r>
      <w:proofErr w:type="spellEnd"/>
      <w:r w:rsidRPr="000942DD">
        <w:rPr>
          <w:lang w:val="en-GB"/>
        </w:rPr>
        <w:t xml:space="preserve"> (€3.80 per mg) and </w:t>
      </w:r>
      <w:proofErr w:type="spellStart"/>
      <w:r w:rsidRPr="000942DD">
        <w:rPr>
          <w:lang w:val="en-GB"/>
        </w:rPr>
        <w:t>tocilizumab</w:t>
      </w:r>
      <w:proofErr w:type="spellEnd"/>
      <w:r w:rsidRPr="000942DD">
        <w:rPr>
          <w:lang w:val="en-GB"/>
        </w:rPr>
        <w:t xml:space="preserve"> (€2.53 per mg). The </w:t>
      </w:r>
      <w:proofErr w:type="spellStart"/>
      <w:r w:rsidRPr="000942DD">
        <w:rPr>
          <w:lang w:val="en-GB"/>
        </w:rPr>
        <w:t>csDMARDs</w:t>
      </w:r>
      <w:proofErr w:type="spellEnd"/>
      <w:r w:rsidRPr="000942DD">
        <w:rPr>
          <w:lang w:val="en-GB"/>
        </w:rPr>
        <w:t xml:space="preserve"> we considered were methotrexate (€0.92 per mg) and </w:t>
      </w:r>
      <w:proofErr w:type="spellStart"/>
      <w:r w:rsidRPr="000942DD">
        <w:rPr>
          <w:lang w:val="en-GB"/>
        </w:rPr>
        <w:t>leflunomide</w:t>
      </w:r>
      <w:proofErr w:type="spellEnd"/>
      <w:r w:rsidRPr="000942DD">
        <w:rPr>
          <w:lang w:val="en-GB"/>
        </w:rPr>
        <w:t xml:space="preserve"> (€0.13 per mg). Concomitant medication comprised prednisolone (€0.01 per mg) and the NSAIDs ibuprofen and diclofenac (less than €0.01 per mg). Third, to calculate the required dose in mg per cycle, we multiplied prices per mg by recommended doses from product information provided by the European Medicines Agency (EMA) </w:t>
      </w:r>
      <w:r w:rsidR="00FC75B8" w:rsidRPr="00FC75B8">
        <w:rPr>
          <w:rFonts w:ascii="Calibri" w:hAnsi="Calibri" w:cs="Calibri"/>
          <w:lang w:val="en-GB"/>
        </w:rPr>
        <w:t>[2]</w:t>
      </w:r>
      <w:r w:rsidRPr="000942DD">
        <w:rPr>
          <w:lang w:val="en-GB"/>
        </w:rPr>
        <w:t xml:space="preserve">, recommendations of the German Society of Rheumatology (Deutsche </w:t>
      </w:r>
      <w:proofErr w:type="spellStart"/>
      <w:r w:rsidRPr="000942DD">
        <w:rPr>
          <w:lang w:val="en-GB"/>
        </w:rPr>
        <w:t>Gesellschaft</w:t>
      </w:r>
      <w:proofErr w:type="spellEnd"/>
      <w:r w:rsidRPr="000942DD">
        <w:rPr>
          <w:lang w:val="en-GB"/>
        </w:rPr>
        <w:t xml:space="preserve"> </w:t>
      </w:r>
      <w:proofErr w:type="spellStart"/>
      <w:r w:rsidRPr="000942DD">
        <w:rPr>
          <w:lang w:val="en-GB"/>
        </w:rPr>
        <w:t>für</w:t>
      </w:r>
      <w:proofErr w:type="spellEnd"/>
      <w:r w:rsidRPr="000942DD">
        <w:rPr>
          <w:lang w:val="en-GB"/>
        </w:rPr>
        <w:t xml:space="preserve"> </w:t>
      </w:r>
      <w:proofErr w:type="spellStart"/>
      <w:r w:rsidRPr="000942DD">
        <w:rPr>
          <w:lang w:val="en-GB"/>
        </w:rPr>
        <w:t>Rheumatologie</w:t>
      </w:r>
      <w:proofErr w:type="spellEnd"/>
      <w:r w:rsidRPr="000942DD">
        <w:rPr>
          <w:lang w:val="en-GB"/>
        </w:rPr>
        <w:t xml:space="preserve">) </w:t>
      </w:r>
      <w:r w:rsidR="00FC75B8" w:rsidRPr="00FC75B8">
        <w:rPr>
          <w:rFonts w:ascii="Calibri" w:hAnsi="Calibri" w:cs="Calibri"/>
          <w:lang w:val="en-GB"/>
        </w:rPr>
        <w:t>[3]</w:t>
      </w:r>
      <w:r w:rsidRPr="000942DD">
        <w:rPr>
          <w:lang w:val="en-GB"/>
        </w:rPr>
        <w:t xml:space="preserve"> and the German League Against Rheumatism (Deutsche </w:t>
      </w:r>
      <w:proofErr w:type="spellStart"/>
      <w:r w:rsidRPr="000942DD">
        <w:rPr>
          <w:lang w:val="en-GB"/>
        </w:rPr>
        <w:t>Rheumaliga</w:t>
      </w:r>
      <w:proofErr w:type="spellEnd"/>
      <w:r w:rsidRPr="000942DD">
        <w:rPr>
          <w:lang w:val="en-GB"/>
        </w:rPr>
        <w:t xml:space="preserve">), </w:t>
      </w:r>
      <w:r w:rsidR="00FC75B8" w:rsidRPr="00FC75B8">
        <w:rPr>
          <w:rFonts w:ascii="Calibri" w:hAnsi="Calibri" w:cs="Calibri"/>
          <w:lang w:val="en-GB"/>
        </w:rPr>
        <w:t>[4]</w:t>
      </w:r>
      <w:r w:rsidRPr="000942DD">
        <w:rPr>
          <w:lang w:val="en-GB"/>
        </w:rPr>
        <w:t xml:space="preserve"> and published literature </w:t>
      </w:r>
      <w:r w:rsidR="00FC75B8" w:rsidRPr="00FC75B8">
        <w:rPr>
          <w:rFonts w:ascii="Calibri" w:hAnsi="Calibri" w:cs="Calibri"/>
          <w:lang w:val="en-GB"/>
        </w:rPr>
        <w:t>[1]</w:t>
      </w:r>
      <w:r w:rsidRPr="000942DD">
        <w:rPr>
          <w:lang w:val="en-GB"/>
        </w:rPr>
        <w:t xml:space="preserve">. Lastly, we calculated average costs in each category for a six-month cycle, which yielded costs of (a) €7,416 for </w:t>
      </w:r>
      <w:proofErr w:type="spellStart"/>
      <w:r w:rsidRPr="000942DD">
        <w:rPr>
          <w:lang w:val="en-GB"/>
        </w:rPr>
        <w:t>bDMARDs</w:t>
      </w:r>
      <w:proofErr w:type="spellEnd"/>
      <w:r w:rsidRPr="000942DD">
        <w:rPr>
          <w:lang w:val="en-GB"/>
        </w:rPr>
        <w:t xml:space="preserve">, (b) €543 for </w:t>
      </w:r>
      <w:proofErr w:type="spellStart"/>
      <w:r w:rsidRPr="000942DD">
        <w:rPr>
          <w:lang w:val="en-GB"/>
        </w:rPr>
        <w:t>csDMARDS</w:t>
      </w:r>
      <w:proofErr w:type="spellEnd"/>
      <w:r w:rsidRPr="000942DD">
        <w:rPr>
          <w:lang w:val="en-GB"/>
        </w:rPr>
        <w:t xml:space="preserve"> and €22 for concomitant medication (for detailed information, see Appendix table 1). </w:t>
      </w:r>
    </w:p>
    <w:p w:rsidR="00226823" w:rsidRPr="000942DD" w:rsidRDefault="00226823" w:rsidP="00226823">
      <w:pPr>
        <w:jc w:val="left"/>
        <w:rPr>
          <w:lang w:val="en-GB"/>
        </w:rPr>
      </w:pPr>
      <w:r w:rsidRPr="000942DD">
        <w:rPr>
          <w:lang w:val="en-GB"/>
        </w:rPr>
        <w:lastRenderedPageBreak/>
        <w:t xml:space="preserve">All other direct costs were taken from </w:t>
      </w:r>
      <w:proofErr w:type="spellStart"/>
      <w:r w:rsidRPr="000942DD">
        <w:rPr>
          <w:lang w:val="en-GB"/>
        </w:rPr>
        <w:t>Huscher</w:t>
      </w:r>
      <w:proofErr w:type="spellEnd"/>
      <w:r w:rsidRPr="000942DD">
        <w:rPr>
          <w:lang w:val="en-GB"/>
        </w:rPr>
        <w:t xml:space="preserve"> et al. </w:t>
      </w:r>
      <w:r w:rsidR="00FC75B8" w:rsidRPr="00FC75B8">
        <w:rPr>
          <w:rFonts w:ascii="Calibri" w:hAnsi="Calibri" w:cs="Calibri"/>
          <w:lang w:val="en-GB"/>
        </w:rPr>
        <w:t>[5]</w:t>
      </w:r>
      <w:r w:rsidRPr="000942DD">
        <w:rPr>
          <w:lang w:val="en-GB"/>
        </w:rPr>
        <w:t>, who report average direct costs per disease activity state for patients with RA in Germany in 2011 based on the Health Assessment Questionnaire (HAQ)</w:t>
      </w:r>
      <w:r>
        <w:rPr>
          <w:lang w:val="en-GB"/>
        </w:rPr>
        <w:t xml:space="preserve"> </w:t>
      </w:r>
      <w:r w:rsidR="00FC75B8" w:rsidRPr="00FC75B8">
        <w:rPr>
          <w:rFonts w:ascii="Calibri" w:hAnsi="Calibri" w:cs="Calibri"/>
          <w:lang w:val="en-GB"/>
        </w:rPr>
        <w:t>[6,7]</w:t>
      </w:r>
      <w:r w:rsidRPr="000942DD">
        <w:rPr>
          <w:lang w:val="en-GB"/>
        </w:rPr>
        <w:t xml:space="preserve">. Non-pharmaceutical costs in our study comprised those of hospitalization, rehabilitation, physician visits, joint replacement surgery, physiotherapy and imaging </w:t>
      </w:r>
      <w:r w:rsidR="00FC75B8" w:rsidRPr="00FC75B8">
        <w:rPr>
          <w:rFonts w:ascii="Calibri" w:hAnsi="Calibri" w:cs="Calibri"/>
          <w:lang w:val="en-GB"/>
        </w:rPr>
        <w:t>[5]</w:t>
      </w:r>
      <w:r w:rsidRPr="000942DD">
        <w:rPr>
          <w:lang w:val="en-GB"/>
        </w:rPr>
        <w:t xml:space="preserve">. To reflect growth in the expenditure of statutory health insurers in Germany from 2011 to 2017, we inflated costs by 29.6% </w:t>
      </w:r>
      <w:r w:rsidR="00FC75B8" w:rsidRPr="00FC75B8">
        <w:rPr>
          <w:rFonts w:ascii="Calibri" w:hAnsi="Calibri" w:cs="Calibri"/>
          <w:lang w:val="en-GB"/>
        </w:rPr>
        <w:t>[8]</w:t>
      </w:r>
      <w:r w:rsidRPr="000942DD">
        <w:rPr>
          <w:lang w:val="en-GB"/>
        </w:rPr>
        <w:t>. Thus, all other direct costs for patients aged ≤ 64 years amounted to €747 (€1</w:t>
      </w:r>
      <w:proofErr w:type="gramStart"/>
      <w:r w:rsidRPr="000942DD">
        <w:rPr>
          <w:lang w:val="en-GB"/>
        </w:rPr>
        <w:t>,1012</w:t>
      </w:r>
      <w:proofErr w:type="gramEnd"/>
      <w:r w:rsidRPr="000942DD">
        <w:rPr>
          <w:lang w:val="en-GB"/>
        </w:rPr>
        <w:t xml:space="preserve"> for &gt; 65 years) when in REM, €1,158 (€1,1210) when in LDA and €1,856 (€1,941) when in M/HDA. </w:t>
      </w:r>
    </w:p>
    <w:p w:rsidR="00226823" w:rsidRDefault="00226823" w:rsidP="00226823">
      <w:pPr>
        <w:jc w:val="left"/>
        <w:rPr>
          <w:lang w:val="en-GB"/>
        </w:rPr>
      </w:pPr>
      <w:r w:rsidRPr="000942DD">
        <w:rPr>
          <w:lang w:val="en-GB"/>
        </w:rPr>
        <w:t xml:space="preserve">Total direct costs per state per patient aged ≤ 64 years were €8,729 (€8,994 for &gt; 65 years) for REM, €9,140 (€9,192) for LDA and €9,838 (€9,922) for M/HDA under standard care. For tapering, we considered only 50% of the </w:t>
      </w:r>
      <w:proofErr w:type="spellStart"/>
      <w:r w:rsidRPr="000942DD">
        <w:rPr>
          <w:lang w:val="en-GB"/>
        </w:rPr>
        <w:t>bDMARD</w:t>
      </w:r>
      <w:proofErr w:type="spellEnd"/>
      <w:r w:rsidRPr="000942DD">
        <w:rPr>
          <w:lang w:val="en-GB"/>
        </w:rPr>
        <w:t xml:space="preserve"> costs, yielding total direct costs of €5,021 (€5,286) for TP_REM and €5,432 (€5,484) for TP_LDA. For withdrawal, we calculated costs of €1,313 (€1,577) for patients in WD-REM and €1,723 (€1,776) patients in WD-LDA.</w:t>
      </w:r>
    </w:p>
    <w:p w:rsidR="00FC75B8" w:rsidRDefault="00FC75B8">
      <w:pPr>
        <w:spacing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C75B8" w:rsidRDefault="00FC75B8" w:rsidP="00226823">
      <w:pPr>
        <w:jc w:val="left"/>
        <w:rPr>
          <w:lang w:val="en-GB"/>
        </w:rPr>
      </w:pPr>
    </w:p>
    <w:p w:rsidR="00FC75B8" w:rsidRPr="00FC75B8" w:rsidRDefault="00FC75B8" w:rsidP="00226823">
      <w:pPr>
        <w:jc w:val="left"/>
        <w:rPr>
          <w:b/>
          <w:lang w:val="en-GB"/>
        </w:rPr>
      </w:pPr>
      <w:r w:rsidRPr="00FC75B8">
        <w:rPr>
          <w:b/>
          <w:lang w:val="en-GB"/>
        </w:rPr>
        <w:t>Literature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  <w:lang w:val="en-GB"/>
        </w:rPr>
      </w:pPr>
      <w:r w:rsidRPr="00FC75B8">
        <w:rPr>
          <w:rFonts w:ascii="Calibri" w:hAnsi="Calibri" w:cs="Calibri"/>
          <w:lang w:val="en-GB"/>
        </w:rPr>
        <w:t xml:space="preserve">1. </w:t>
      </w:r>
      <w:r w:rsidRPr="00FC75B8">
        <w:rPr>
          <w:rFonts w:ascii="Calibri" w:hAnsi="Calibri" w:cs="Calibri"/>
          <w:lang w:val="en-GB"/>
        </w:rPr>
        <w:tab/>
      </w:r>
      <w:proofErr w:type="spellStart"/>
      <w:r w:rsidRPr="00FC75B8">
        <w:rPr>
          <w:rFonts w:ascii="Calibri" w:hAnsi="Calibri" w:cs="Calibri"/>
          <w:lang w:val="en-GB"/>
        </w:rPr>
        <w:t>Smolen</w:t>
      </w:r>
      <w:proofErr w:type="spellEnd"/>
      <w:r w:rsidRPr="00FC75B8">
        <w:rPr>
          <w:rFonts w:ascii="Calibri" w:hAnsi="Calibri" w:cs="Calibri"/>
          <w:lang w:val="en-GB"/>
        </w:rPr>
        <w:t xml:space="preserve"> JS, </w:t>
      </w:r>
      <w:proofErr w:type="spellStart"/>
      <w:r w:rsidRPr="00FC75B8">
        <w:rPr>
          <w:rFonts w:ascii="Calibri" w:hAnsi="Calibri" w:cs="Calibri"/>
          <w:lang w:val="en-GB"/>
        </w:rPr>
        <w:t>Aletaha</w:t>
      </w:r>
      <w:proofErr w:type="spellEnd"/>
      <w:r w:rsidRPr="00FC75B8">
        <w:rPr>
          <w:rFonts w:ascii="Calibri" w:hAnsi="Calibri" w:cs="Calibri"/>
          <w:lang w:val="en-GB"/>
        </w:rPr>
        <w:t xml:space="preserve"> D, </w:t>
      </w:r>
      <w:proofErr w:type="spellStart"/>
      <w:r w:rsidRPr="00FC75B8">
        <w:rPr>
          <w:rFonts w:ascii="Calibri" w:hAnsi="Calibri" w:cs="Calibri"/>
          <w:lang w:val="en-GB"/>
        </w:rPr>
        <w:t>McInnes</w:t>
      </w:r>
      <w:proofErr w:type="spellEnd"/>
      <w:r w:rsidRPr="00FC75B8">
        <w:rPr>
          <w:rFonts w:ascii="Calibri" w:hAnsi="Calibri" w:cs="Calibri"/>
          <w:lang w:val="en-GB"/>
        </w:rPr>
        <w:t xml:space="preserve"> IB. Rheumatoid arthritis. The Lancet. 2016</w:t>
      </w:r>
      <w:proofErr w:type="gramStart"/>
      <w:r w:rsidRPr="00FC75B8">
        <w:rPr>
          <w:rFonts w:ascii="Calibri" w:hAnsi="Calibri" w:cs="Calibri"/>
          <w:lang w:val="en-GB"/>
        </w:rPr>
        <w:t>;388</w:t>
      </w:r>
      <w:proofErr w:type="gramEnd"/>
      <w:r w:rsidRPr="00FC75B8">
        <w:rPr>
          <w:rFonts w:ascii="Calibri" w:hAnsi="Calibri" w:cs="Calibri"/>
          <w:lang w:val="en-GB"/>
        </w:rPr>
        <w:t xml:space="preserve">: 2023–2038. </w:t>
      </w:r>
      <w:proofErr w:type="gramStart"/>
      <w:r w:rsidRPr="00FC75B8">
        <w:rPr>
          <w:rFonts w:ascii="Calibri" w:hAnsi="Calibri" w:cs="Calibri"/>
          <w:lang w:val="en-GB"/>
        </w:rPr>
        <w:t>doi:</w:t>
      </w:r>
      <w:proofErr w:type="gramEnd"/>
      <w:r w:rsidRPr="00FC75B8">
        <w:rPr>
          <w:rFonts w:ascii="Calibri" w:hAnsi="Calibri" w:cs="Calibri"/>
          <w:lang w:val="en-GB"/>
        </w:rPr>
        <w:t>10.1016/S0140-6736(16)30173-8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  <w:lang w:val="en-GB"/>
        </w:rPr>
      </w:pPr>
      <w:r w:rsidRPr="00FC75B8">
        <w:rPr>
          <w:rFonts w:ascii="Calibri" w:hAnsi="Calibri" w:cs="Calibri"/>
          <w:lang w:val="en-GB"/>
        </w:rPr>
        <w:t xml:space="preserve">2. </w:t>
      </w:r>
      <w:r w:rsidRPr="00FC75B8">
        <w:rPr>
          <w:rFonts w:ascii="Calibri" w:hAnsi="Calibri" w:cs="Calibri"/>
          <w:lang w:val="en-GB"/>
        </w:rPr>
        <w:tab/>
        <w:t xml:space="preserve">European </w:t>
      </w:r>
      <w:proofErr w:type="spellStart"/>
      <w:r w:rsidRPr="00FC75B8">
        <w:rPr>
          <w:rFonts w:ascii="Calibri" w:hAnsi="Calibri" w:cs="Calibri"/>
          <w:lang w:val="en-GB"/>
        </w:rPr>
        <w:t>Medicince</w:t>
      </w:r>
      <w:proofErr w:type="spellEnd"/>
      <w:r w:rsidRPr="00FC75B8">
        <w:rPr>
          <w:rFonts w:ascii="Calibri" w:hAnsi="Calibri" w:cs="Calibri"/>
          <w:lang w:val="en-GB"/>
        </w:rPr>
        <w:t xml:space="preserve"> Agency (EMA). European Medicines Agency - Find medicine - European public assessment reports. In: European public assessment reports [Internet]. 2018 [cited 14 Mar 2018]. 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</w:rPr>
      </w:pPr>
      <w:r w:rsidRPr="00FC75B8">
        <w:rPr>
          <w:rFonts w:ascii="Calibri" w:hAnsi="Calibri" w:cs="Calibri"/>
        </w:rPr>
        <w:t xml:space="preserve">3. </w:t>
      </w:r>
      <w:r w:rsidRPr="00FC75B8">
        <w:rPr>
          <w:rFonts w:ascii="Calibri" w:hAnsi="Calibri" w:cs="Calibri"/>
        </w:rPr>
        <w:tab/>
        <w:t xml:space="preserve">Krüger K, </w:t>
      </w:r>
      <w:proofErr w:type="spellStart"/>
      <w:r w:rsidRPr="00FC75B8">
        <w:rPr>
          <w:rFonts w:ascii="Calibri" w:hAnsi="Calibri" w:cs="Calibri"/>
        </w:rPr>
        <w:t>Wollenhaupt</w:t>
      </w:r>
      <w:proofErr w:type="spellEnd"/>
      <w:r w:rsidRPr="00FC75B8">
        <w:rPr>
          <w:rFonts w:ascii="Calibri" w:hAnsi="Calibri" w:cs="Calibri"/>
        </w:rPr>
        <w:t xml:space="preserve"> J, Albrecht K, Alten R, Backhaus M, </w:t>
      </w:r>
      <w:proofErr w:type="spellStart"/>
      <w:r w:rsidRPr="00FC75B8">
        <w:rPr>
          <w:rFonts w:ascii="Calibri" w:hAnsi="Calibri" w:cs="Calibri"/>
        </w:rPr>
        <w:t>Baerwald</w:t>
      </w:r>
      <w:proofErr w:type="spellEnd"/>
      <w:r w:rsidRPr="00FC75B8">
        <w:rPr>
          <w:rFonts w:ascii="Calibri" w:hAnsi="Calibri" w:cs="Calibri"/>
        </w:rPr>
        <w:t xml:space="preserve"> C, et al. S1-Leitlinie der Deutschen Gesellschaft für Rheumatologie: Handlungsempfehlungen der </w:t>
      </w:r>
      <w:proofErr w:type="spellStart"/>
      <w:r w:rsidRPr="00FC75B8">
        <w:rPr>
          <w:rFonts w:ascii="Calibri" w:hAnsi="Calibri" w:cs="Calibri"/>
        </w:rPr>
        <w:t>DGRh</w:t>
      </w:r>
      <w:proofErr w:type="spellEnd"/>
      <w:r w:rsidRPr="00FC75B8">
        <w:rPr>
          <w:rFonts w:ascii="Calibri" w:hAnsi="Calibri" w:cs="Calibri"/>
        </w:rPr>
        <w:t xml:space="preserve"> zur sequenziellen medikamentösen Therapie der rheumatoiden Arthritis 2012: adaptierte EULAR Empfehlungen und aktualisierter Therapiealgorithmus. </w:t>
      </w:r>
      <w:proofErr w:type="spellStart"/>
      <w:r w:rsidRPr="00FC75B8">
        <w:rPr>
          <w:rFonts w:ascii="Calibri" w:hAnsi="Calibri" w:cs="Calibri"/>
        </w:rPr>
        <w:t>Dtsch</w:t>
      </w:r>
      <w:proofErr w:type="spellEnd"/>
      <w:r w:rsidRPr="00FC75B8">
        <w:rPr>
          <w:rFonts w:ascii="Calibri" w:hAnsi="Calibri" w:cs="Calibri"/>
        </w:rPr>
        <w:t xml:space="preserve"> Ges Für </w:t>
      </w:r>
      <w:proofErr w:type="spellStart"/>
      <w:r w:rsidRPr="00FC75B8">
        <w:rPr>
          <w:rFonts w:ascii="Calibri" w:hAnsi="Calibri" w:cs="Calibri"/>
        </w:rPr>
        <w:t>Rheumatol</w:t>
      </w:r>
      <w:proofErr w:type="spellEnd"/>
      <w:r w:rsidRPr="00FC75B8">
        <w:rPr>
          <w:rFonts w:ascii="Calibri" w:hAnsi="Calibri" w:cs="Calibri"/>
        </w:rPr>
        <w:t xml:space="preserve">. 2012. 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  <w:lang w:val="en-GB"/>
        </w:rPr>
      </w:pPr>
      <w:r w:rsidRPr="00FC75B8">
        <w:rPr>
          <w:rFonts w:ascii="Calibri" w:hAnsi="Calibri" w:cs="Calibri"/>
        </w:rPr>
        <w:t xml:space="preserve">4. </w:t>
      </w:r>
      <w:r w:rsidRPr="00FC75B8">
        <w:rPr>
          <w:rFonts w:ascii="Calibri" w:hAnsi="Calibri" w:cs="Calibri"/>
        </w:rPr>
        <w:tab/>
        <w:t>DRL BV. NSAR | Deutsche Rheuma-Liga Bundesverband e.V. In: Nicht-</w:t>
      </w:r>
      <w:proofErr w:type="spellStart"/>
      <w:r w:rsidRPr="00FC75B8">
        <w:rPr>
          <w:rFonts w:ascii="Calibri" w:hAnsi="Calibri" w:cs="Calibri"/>
        </w:rPr>
        <w:t>steroidale</w:t>
      </w:r>
      <w:proofErr w:type="spellEnd"/>
      <w:r w:rsidRPr="00FC75B8">
        <w:rPr>
          <w:rFonts w:ascii="Calibri" w:hAnsi="Calibri" w:cs="Calibri"/>
        </w:rPr>
        <w:t xml:space="preserve"> Antirheumatika [Internet]. </w:t>
      </w:r>
      <w:r w:rsidRPr="00FC75B8">
        <w:rPr>
          <w:rFonts w:ascii="Calibri" w:hAnsi="Calibri" w:cs="Calibri"/>
          <w:lang w:val="en-GB"/>
        </w:rPr>
        <w:t xml:space="preserve">2017 [cited 13 Jul 2017]. 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</w:rPr>
      </w:pPr>
      <w:r w:rsidRPr="00FC75B8">
        <w:rPr>
          <w:rFonts w:ascii="Calibri" w:hAnsi="Calibri" w:cs="Calibri"/>
        </w:rPr>
        <w:lastRenderedPageBreak/>
        <w:t xml:space="preserve">5. </w:t>
      </w:r>
      <w:r w:rsidRPr="00FC75B8">
        <w:rPr>
          <w:rFonts w:ascii="Calibri" w:hAnsi="Calibri" w:cs="Calibri"/>
        </w:rPr>
        <w:tab/>
      </w:r>
      <w:proofErr w:type="spellStart"/>
      <w:r w:rsidRPr="00FC75B8">
        <w:rPr>
          <w:rFonts w:ascii="Calibri" w:hAnsi="Calibri" w:cs="Calibri"/>
        </w:rPr>
        <w:t>Huscher</w:t>
      </w:r>
      <w:proofErr w:type="spellEnd"/>
      <w:r w:rsidRPr="00FC75B8">
        <w:rPr>
          <w:rFonts w:ascii="Calibri" w:hAnsi="Calibri" w:cs="Calibri"/>
        </w:rPr>
        <w:t xml:space="preserve"> D, Mittendorf T, von Hinüber U, Kötter I, </w:t>
      </w:r>
      <w:proofErr w:type="spellStart"/>
      <w:r w:rsidRPr="00FC75B8">
        <w:rPr>
          <w:rFonts w:ascii="Calibri" w:hAnsi="Calibri" w:cs="Calibri"/>
        </w:rPr>
        <w:t>Hoese</w:t>
      </w:r>
      <w:proofErr w:type="spellEnd"/>
      <w:r w:rsidRPr="00FC75B8">
        <w:rPr>
          <w:rFonts w:ascii="Calibri" w:hAnsi="Calibri" w:cs="Calibri"/>
        </w:rPr>
        <w:t xml:space="preserve"> G, </w:t>
      </w:r>
      <w:proofErr w:type="spellStart"/>
      <w:r w:rsidRPr="00FC75B8">
        <w:rPr>
          <w:rFonts w:ascii="Calibri" w:hAnsi="Calibri" w:cs="Calibri"/>
        </w:rPr>
        <w:t>Pfäfflin</w:t>
      </w:r>
      <w:proofErr w:type="spellEnd"/>
      <w:r w:rsidRPr="00FC75B8">
        <w:rPr>
          <w:rFonts w:ascii="Calibri" w:hAnsi="Calibri" w:cs="Calibri"/>
        </w:rPr>
        <w:t xml:space="preserve"> A, et al. </w:t>
      </w:r>
      <w:r w:rsidRPr="00FC75B8">
        <w:rPr>
          <w:rFonts w:ascii="Calibri" w:hAnsi="Calibri" w:cs="Calibri"/>
          <w:lang w:val="en-GB"/>
        </w:rPr>
        <w:t xml:space="preserve">Evolution of cost structures in rheumatoid arthritis over the past decade. </w:t>
      </w:r>
      <w:r w:rsidRPr="00FC75B8">
        <w:rPr>
          <w:rFonts w:ascii="Calibri" w:hAnsi="Calibri" w:cs="Calibri"/>
        </w:rPr>
        <w:t xml:space="preserve">Ann </w:t>
      </w:r>
      <w:proofErr w:type="spellStart"/>
      <w:r w:rsidRPr="00FC75B8">
        <w:rPr>
          <w:rFonts w:ascii="Calibri" w:hAnsi="Calibri" w:cs="Calibri"/>
        </w:rPr>
        <w:t>Rheum</w:t>
      </w:r>
      <w:proofErr w:type="spellEnd"/>
      <w:r w:rsidRPr="00FC75B8">
        <w:rPr>
          <w:rFonts w:ascii="Calibri" w:hAnsi="Calibri" w:cs="Calibri"/>
        </w:rPr>
        <w:t xml:space="preserve"> Dis. 2015;74: 738–745. doi:10.1136/annrheumdis-2013-204311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  <w:lang w:val="en-GB"/>
        </w:rPr>
      </w:pPr>
      <w:r w:rsidRPr="00FC75B8">
        <w:rPr>
          <w:rFonts w:ascii="Calibri" w:hAnsi="Calibri" w:cs="Calibri"/>
        </w:rPr>
        <w:t xml:space="preserve">6. </w:t>
      </w:r>
      <w:r w:rsidRPr="00FC75B8">
        <w:rPr>
          <w:rFonts w:ascii="Calibri" w:hAnsi="Calibri" w:cs="Calibri"/>
        </w:rPr>
        <w:tab/>
        <w:t xml:space="preserve">Fries JF, Spitz P, </w:t>
      </w:r>
      <w:proofErr w:type="spellStart"/>
      <w:r w:rsidRPr="00FC75B8">
        <w:rPr>
          <w:rFonts w:ascii="Calibri" w:hAnsi="Calibri" w:cs="Calibri"/>
        </w:rPr>
        <w:t>Kraines</w:t>
      </w:r>
      <w:proofErr w:type="spellEnd"/>
      <w:r w:rsidRPr="00FC75B8">
        <w:rPr>
          <w:rFonts w:ascii="Calibri" w:hAnsi="Calibri" w:cs="Calibri"/>
        </w:rPr>
        <w:t xml:space="preserve"> RG, </w:t>
      </w:r>
      <w:proofErr w:type="spellStart"/>
      <w:r w:rsidRPr="00FC75B8">
        <w:rPr>
          <w:rFonts w:ascii="Calibri" w:hAnsi="Calibri" w:cs="Calibri"/>
        </w:rPr>
        <w:t>Holman</w:t>
      </w:r>
      <w:proofErr w:type="spellEnd"/>
      <w:r w:rsidRPr="00FC75B8">
        <w:rPr>
          <w:rFonts w:ascii="Calibri" w:hAnsi="Calibri" w:cs="Calibri"/>
        </w:rPr>
        <w:t xml:space="preserve"> HR. </w:t>
      </w:r>
      <w:r w:rsidRPr="00FC75B8">
        <w:rPr>
          <w:rFonts w:ascii="Calibri" w:hAnsi="Calibri" w:cs="Calibri"/>
          <w:lang w:val="en-GB"/>
        </w:rPr>
        <w:t>Measurement of patient outcome in arthritis. Arthritis Rheum. 1980</w:t>
      </w:r>
      <w:proofErr w:type="gramStart"/>
      <w:r w:rsidRPr="00FC75B8">
        <w:rPr>
          <w:rFonts w:ascii="Calibri" w:hAnsi="Calibri" w:cs="Calibri"/>
          <w:lang w:val="en-GB"/>
        </w:rPr>
        <w:t>;23</w:t>
      </w:r>
      <w:proofErr w:type="gramEnd"/>
      <w:r w:rsidRPr="00FC75B8">
        <w:rPr>
          <w:rFonts w:ascii="Calibri" w:hAnsi="Calibri" w:cs="Calibri"/>
          <w:lang w:val="en-GB"/>
        </w:rPr>
        <w:t xml:space="preserve">: 137–145. 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</w:rPr>
      </w:pPr>
      <w:r w:rsidRPr="00FC75B8">
        <w:rPr>
          <w:rFonts w:ascii="Calibri" w:hAnsi="Calibri" w:cs="Calibri"/>
          <w:lang w:val="en-GB"/>
        </w:rPr>
        <w:t xml:space="preserve">7. </w:t>
      </w:r>
      <w:r w:rsidRPr="00FC75B8">
        <w:rPr>
          <w:rFonts w:ascii="Calibri" w:hAnsi="Calibri" w:cs="Calibri"/>
          <w:lang w:val="en-GB"/>
        </w:rPr>
        <w:tab/>
        <w:t xml:space="preserve">Bruce B, Fries JF. The Stanford Health Assessment Questionnaire: Dimensions and Practical Applications. </w:t>
      </w:r>
      <w:proofErr w:type="spellStart"/>
      <w:r w:rsidRPr="00FC75B8">
        <w:rPr>
          <w:rFonts w:ascii="Calibri" w:hAnsi="Calibri" w:cs="Calibri"/>
        </w:rPr>
        <w:t>Health</w:t>
      </w:r>
      <w:proofErr w:type="spellEnd"/>
      <w:r w:rsidRPr="00FC75B8">
        <w:rPr>
          <w:rFonts w:ascii="Calibri" w:hAnsi="Calibri" w:cs="Calibri"/>
        </w:rPr>
        <w:t xml:space="preserve"> Qual Life Outcomes. 2003;1: 20. doi:10.1186/1477-7525-1-20</w:t>
      </w:r>
    </w:p>
    <w:p w:rsidR="00FC75B8" w:rsidRPr="00FC75B8" w:rsidRDefault="00FC75B8" w:rsidP="00FC75B8">
      <w:pPr>
        <w:pStyle w:val="Literaturverzeichnis"/>
        <w:rPr>
          <w:rFonts w:ascii="Calibri" w:hAnsi="Calibri" w:cs="Calibri"/>
        </w:rPr>
      </w:pPr>
      <w:r w:rsidRPr="00FC75B8">
        <w:rPr>
          <w:rFonts w:ascii="Calibri" w:hAnsi="Calibri" w:cs="Calibri"/>
        </w:rPr>
        <w:t xml:space="preserve">8. </w:t>
      </w:r>
      <w:r w:rsidRPr="00FC75B8">
        <w:rPr>
          <w:rFonts w:ascii="Calibri" w:hAnsi="Calibri" w:cs="Calibri"/>
        </w:rPr>
        <w:tab/>
        <w:t>Statistisches Bundesamt (</w:t>
      </w:r>
      <w:proofErr w:type="spellStart"/>
      <w:r w:rsidRPr="00FC75B8">
        <w:rPr>
          <w:rFonts w:ascii="Calibri" w:hAnsi="Calibri" w:cs="Calibri"/>
        </w:rPr>
        <w:t>Destatis</w:t>
      </w:r>
      <w:proofErr w:type="spellEnd"/>
      <w:r w:rsidRPr="00FC75B8">
        <w:rPr>
          <w:rFonts w:ascii="Calibri" w:hAnsi="Calibri" w:cs="Calibri"/>
        </w:rPr>
        <w:t>). Staat &amp; Gesellschaft - Gesundheitsausgaben. In: Gesundheitsausgaben in Deutschland [Internet]. 2018 [</w:t>
      </w:r>
      <w:proofErr w:type="spellStart"/>
      <w:r w:rsidRPr="00FC75B8">
        <w:rPr>
          <w:rFonts w:ascii="Calibri" w:hAnsi="Calibri" w:cs="Calibri"/>
        </w:rPr>
        <w:t>cited</w:t>
      </w:r>
      <w:proofErr w:type="spellEnd"/>
      <w:r w:rsidRPr="00FC75B8">
        <w:rPr>
          <w:rFonts w:ascii="Calibri" w:hAnsi="Calibri" w:cs="Calibri"/>
        </w:rPr>
        <w:t xml:space="preserve"> 9 Aug 2018]. </w:t>
      </w:r>
    </w:p>
    <w:p w:rsidR="00226823" w:rsidRPr="00FC75B8" w:rsidRDefault="00226823" w:rsidP="00226823">
      <w:pPr>
        <w:jc w:val="left"/>
        <w:rPr>
          <w:b/>
        </w:rPr>
      </w:pPr>
    </w:p>
    <w:p w:rsidR="00684945" w:rsidRPr="00FC75B8" w:rsidRDefault="00684945"/>
    <w:sectPr w:rsidR="00684945" w:rsidRPr="00FC75B8" w:rsidSect="00A14C8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2"/>
    <w:rsid w:val="000431AB"/>
    <w:rsid w:val="00226823"/>
    <w:rsid w:val="00506262"/>
    <w:rsid w:val="00520FB1"/>
    <w:rsid w:val="00603F09"/>
    <w:rsid w:val="00684945"/>
    <w:rsid w:val="00C5457C"/>
    <w:rsid w:val="00C86EF6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5A0C9"/>
  <w15:chartTrackingRefBased/>
  <w15:docId w15:val="{789E54C8-65BF-40CA-9C4C-163476BD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262"/>
    <w:pPr>
      <w:spacing w:line="360" w:lineRule="auto"/>
      <w:jc w:val="both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37"/>
    <w:unhideWhenUsed/>
    <w:rsid w:val="00FC75B8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Birkner, Benjamin</dc:creator>
  <cp:keywords/>
  <dc:description/>
  <cp:lastModifiedBy>Birkner, Benjamin</cp:lastModifiedBy>
  <cp:revision>2</cp:revision>
  <dcterms:created xsi:type="dcterms:W3CDTF">2019-12-18T14:01:00Z</dcterms:created>
  <dcterms:modified xsi:type="dcterms:W3CDTF">2019-12-18T14:01:00Z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id="iOvYbd2V"/&gt;&lt;style id="http://www.zotero.org/styles/plos-one" hasBibliography="1" bibliographyStyleHasBeenSet="1"/&gt;&lt;prefs&gt;&lt;pref name="fieldType" value="Field"/&gt;&lt;pref name="automaticJournalAbbrevia</vt:lpwstr>
  </property>
  <property fmtid="{D5CDD505-2E9C-101B-9397-08002B2CF9AE}" pid="3" name="ZOTERO_PREF_2">
    <vt:lpwstr>tions" value="true"/&gt;&lt;/prefs&gt;&lt;/data&gt;</vt:lpwstr>
  </property>
</Properties>
</file>