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58" w:rsidRDefault="00E74E58" w:rsidP="00E74E58">
      <w:pPr>
        <w:spacing w:line="276" w:lineRule="auto"/>
        <w:jc w:val="both"/>
        <w:rPr>
          <w:b/>
          <w:lang w:val="en-AU"/>
        </w:rPr>
      </w:pPr>
      <w:r>
        <w:rPr>
          <w:b/>
          <w:lang w:val="en-AU"/>
        </w:rPr>
        <w:t>S</w:t>
      </w:r>
      <w:r w:rsidR="00263AA0">
        <w:rPr>
          <w:b/>
          <w:lang w:val="en-AU"/>
        </w:rPr>
        <w:t>3</w:t>
      </w:r>
      <w:r>
        <w:rPr>
          <w:b/>
          <w:lang w:val="en-AU"/>
        </w:rPr>
        <w:t xml:space="preserve"> </w:t>
      </w:r>
      <w:r w:rsidRPr="008B2BAC">
        <w:rPr>
          <w:b/>
          <w:lang w:val="en-AU"/>
        </w:rPr>
        <w:t>Table</w:t>
      </w:r>
      <w:r>
        <w:rPr>
          <w:b/>
          <w:lang w:val="en-AU"/>
        </w:rPr>
        <w:t xml:space="preserve">. Additional </w:t>
      </w:r>
      <w:r w:rsidR="00891C41">
        <w:rPr>
          <w:b/>
          <w:lang w:val="en-AU"/>
        </w:rPr>
        <w:t>estimations</w:t>
      </w:r>
      <w:r w:rsidR="00693E81">
        <w:rPr>
          <w:b/>
          <w:lang w:val="en-AU"/>
        </w:rPr>
        <w:t>.</w:t>
      </w:r>
      <w:bookmarkStart w:id="0" w:name="_GoBack"/>
      <w:bookmarkEnd w:id="0"/>
    </w:p>
    <w:p w:rsidR="00E74E58" w:rsidRDefault="00E74E58" w:rsidP="0066415D">
      <w:pPr>
        <w:spacing w:after="120"/>
        <w:jc w:val="both"/>
        <w:rPr>
          <w:b/>
          <w:lang w:val="en-AU"/>
        </w:rPr>
      </w:pPr>
    </w:p>
    <w:p w:rsidR="00E74E58" w:rsidRDefault="00E74E58" w:rsidP="00D02428">
      <w:pPr>
        <w:spacing w:line="276" w:lineRule="auto"/>
        <w:jc w:val="both"/>
        <w:rPr>
          <w:lang w:val="en-US"/>
        </w:rPr>
      </w:pPr>
      <w:r w:rsidRPr="0066415D">
        <w:rPr>
          <w:b/>
          <w:lang w:val="en-AU"/>
        </w:rPr>
        <w:t>S</w:t>
      </w:r>
      <w:r w:rsidR="00263AA0">
        <w:rPr>
          <w:b/>
          <w:lang w:val="en-AU"/>
        </w:rPr>
        <w:t>3</w:t>
      </w:r>
      <w:r>
        <w:rPr>
          <w:b/>
          <w:lang w:val="en-AU"/>
        </w:rPr>
        <w:t>A</w:t>
      </w:r>
      <w:r w:rsidRPr="0066415D">
        <w:rPr>
          <w:b/>
          <w:lang w:val="en-AU"/>
        </w:rPr>
        <w:t xml:space="preserve"> Table. </w:t>
      </w:r>
      <w:r>
        <w:rPr>
          <w:b/>
          <w:lang w:val="en-AU"/>
        </w:rPr>
        <w:t>Intra cluster correlations</w:t>
      </w:r>
      <w:r w:rsidR="00DD2E9B">
        <w:rPr>
          <w:b/>
          <w:lang w:val="en-AU"/>
        </w:rPr>
        <w:t xml:space="preserve"> (ICC)</w:t>
      </w:r>
      <w:r>
        <w:rPr>
          <w:b/>
          <w:lang w:val="en-AU"/>
        </w:rPr>
        <w:t>.</w:t>
      </w:r>
      <w:r w:rsidR="003766B0">
        <w:rPr>
          <w:b/>
          <w:lang w:val="en-AU"/>
        </w:rPr>
        <w:t xml:space="preserve"> </w:t>
      </w:r>
      <w:r w:rsidR="00DD2E9B">
        <w:rPr>
          <w:lang w:val="en-AU"/>
        </w:rPr>
        <w:t xml:space="preserve">We </w:t>
      </w:r>
      <w:r w:rsidR="004162F5">
        <w:rPr>
          <w:lang w:val="en-AU"/>
        </w:rPr>
        <w:t>checked for</w:t>
      </w:r>
      <w:r w:rsidR="00DD2E9B">
        <w:rPr>
          <w:lang w:val="en-AU"/>
        </w:rPr>
        <w:t xml:space="preserve"> </w:t>
      </w:r>
      <w:proofErr w:type="spellStart"/>
      <w:r w:rsidR="00DD2E9B">
        <w:rPr>
          <w:lang w:val="en-AU"/>
        </w:rPr>
        <w:t>spillover</w:t>
      </w:r>
      <w:proofErr w:type="spellEnd"/>
      <w:r w:rsidR="00DD2E9B">
        <w:rPr>
          <w:lang w:val="en-AU"/>
        </w:rPr>
        <w:t xml:space="preserve"> </w:t>
      </w:r>
      <w:r w:rsidR="00E04178">
        <w:rPr>
          <w:lang w:val="en-AU"/>
        </w:rPr>
        <w:t xml:space="preserve">effects as all ICC are lower than 0.1, that is </w:t>
      </w:r>
      <w:r w:rsidR="00D02428">
        <w:rPr>
          <w:lang w:val="en-AU"/>
        </w:rPr>
        <w:t xml:space="preserve">to say </w:t>
      </w:r>
      <w:r w:rsidR="00283DEE">
        <w:rPr>
          <w:lang w:val="en-AU"/>
        </w:rPr>
        <w:t>that</w:t>
      </w:r>
      <w:r w:rsidR="00D02428">
        <w:rPr>
          <w:lang w:val="en-AU"/>
        </w:rPr>
        <w:t xml:space="preserve"> </w:t>
      </w:r>
      <w:r w:rsidR="00283DEE">
        <w:rPr>
          <w:lang w:val="en-AU"/>
        </w:rPr>
        <w:t xml:space="preserve">variance across </w:t>
      </w:r>
      <w:r w:rsidR="00D02428">
        <w:rPr>
          <w:lang w:val="en-AU"/>
        </w:rPr>
        <w:t xml:space="preserve">sectors explain less than 10% of </w:t>
      </w:r>
      <w:r w:rsidR="00283DEE">
        <w:rPr>
          <w:lang w:val="en-AU"/>
        </w:rPr>
        <w:t xml:space="preserve">the total </w:t>
      </w:r>
      <w:r w:rsidR="00D02428">
        <w:rPr>
          <w:lang w:val="en-AU"/>
        </w:rPr>
        <w:t xml:space="preserve">variation in all outcomes.  </w:t>
      </w:r>
      <w:r w:rsidR="00DD2E9B">
        <w:rPr>
          <w:lang w:val="en-AU"/>
        </w:rPr>
        <w:t xml:space="preserve"> </w:t>
      </w:r>
    </w:p>
    <w:p w:rsidR="00D02428" w:rsidRPr="00D02428" w:rsidRDefault="00D02428" w:rsidP="00D02428">
      <w:pPr>
        <w:spacing w:line="276" w:lineRule="auto"/>
        <w:jc w:val="both"/>
        <w:rPr>
          <w:lang w:val="en-US"/>
        </w:rPr>
      </w:pPr>
    </w:p>
    <w:tbl>
      <w:tblPr>
        <w:tblStyle w:val="Tablaconcuadrcula"/>
        <w:tblW w:w="949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560"/>
        <w:gridCol w:w="991"/>
        <w:gridCol w:w="1135"/>
        <w:gridCol w:w="1276"/>
      </w:tblGrid>
      <w:tr w:rsidR="00875569" w:rsidTr="004755F2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875569" w:rsidRPr="00206C4B" w:rsidRDefault="00875569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875569" w:rsidRPr="00206C4B" w:rsidRDefault="00875569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  <w:r w:rsidRPr="00206C4B">
              <w:rPr>
                <w:b/>
                <w:sz w:val="20"/>
                <w:szCs w:val="20"/>
                <w:lang w:val="en-AU"/>
              </w:rPr>
              <w:t>Outcome</w:t>
            </w:r>
            <w:r w:rsidR="004755F2">
              <w:rPr>
                <w:b/>
                <w:sz w:val="20"/>
                <w:szCs w:val="20"/>
                <w:lang w:val="en-AU"/>
              </w:rPr>
              <w:t>s</w:t>
            </w:r>
          </w:p>
        </w:tc>
      </w:tr>
      <w:tr w:rsidR="00206C4B" w:rsidTr="004755F2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06C4B" w:rsidRPr="00206C4B" w:rsidRDefault="00206C4B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06C4B" w:rsidRPr="00206C4B" w:rsidRDefault="00206C4B" w:rsidP="00206C4B">
            <w:pPr>
              <w:spacing w:line="276" w:lineRule="auto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Plot dataset</w:t>
            </w: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06C4B" w:rsidRDefault="00206C4B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Household dataset</w:t>
            </w:r>
          </w:p>
        </w:tc>
      </w:tr>
      <w:tr w:rsidR="00206C4B" w:rsidTr="004755F2">
        <w:trPr>
          <w:jc w:val="center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875569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875569" w:rsidP="00206C4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06C4B">
              <w:rPr>
                <w:b/>
                <w:sz w:val="20"/>
                <w:szCs w:val="20"/>
                <w:lang w:val="en-AU"/>
              </w:rPr>
              <w:sym w:font="Symbol" w:char="F044"/>
            </w:r>
            <w:r w:rsidRPr="00206C4B">
              <w:rPr>
                <w:b/>
                <w:sz w:val="20"/>
                <w:szCs w:val="20"/>
                <w:lang w:val="en-AU"/>
              </w:rPr>
              <w:t xml:space="preserve"> Prim. for. </w:t>
            </w:r>
            <w:r w:rsidR="00206C4B" w:rsidRPr="00206C4B">
              <w:rPr>
                <w:b/>
                <w:sz w:val="20"/>
                <w:szCs w:val="20"/>
                <w:lang w:val="en-AU"/>
              </w:rPr>
              <w:t>change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875569" w:rsidP="00206C4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06C4B">
              <w:rPr>
                <w:b/>
                <w:sz w:val="20"/>
                <w:szCs w:val="20"/>
                <w:lang w:val="en-AU"/>
              </w:rPr>
              <w:sym w:font="Symbol" w:char="F044"/>
            </w:r>
            <w:r w:rsidRPr="00206C4B">
              <w:rPr>
                <w:b/>
                <w:sz w:val="20"/>
                <w:szCs w:val="20"/>
                <w:lang w:val="en-AU"/>
              </w:rPr>
              <w:t xml:space="preserve"> Sec. for. </w:t>
            </w:r>
            <w:r w:rsidR="00206C4B" w:rsidRPr="00206C4B">
              <w:rPr>
                <w:b/>
                <w:sz w:val="20"/>
                <w:szCs w:val="20"/>
                <w:lang w:val="en-AU"/>
              </w:rPr>
              <w:t>change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4755F2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Annual</w:t>
            </w:r>
            <w:r w:rsidR="00206C4B" w:rsidRPr="00206C4B">
              <w:rPr>
                <w:b/>
                <w:sz w:val="20"/>
                <w:szCs w:val="20"/>
                <w:lang w:val="en-AU"/>
              </w:rPr>
              <w:t xml:space="preserve"> income change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206C4B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Assets</w:t>
            </w:r>
            <w:r w:rsidR="004755F2">
              <w:rPr>
                <w:b/>
                <w:sz w:val="20"/>
                <w:szCs w:val="20"/>
                <w:lang w:val="en-AU"/>
              </w:rPr>
              <w:t xml:space="preserve"> change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206C4B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Improved life quality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569" w:rsidRPr="00206C4B" w:rsidRDefault="00206C4B" w:rsidP="00206C4B">
            <w:pPr>
              <w:spacing w:after="120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Worsened life quality</w:t>
            </w:r>
          </w:p>
        </w:tc>
      </w:tr>
      <w:tr w:rsidR="00206C4B" w:rsidTr="004755F2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875569" w:rsidRPr="00875569" w:rsidRDefault="00875569" w:rsidP="00875569">
            <w:pPr>
              <w:spacing w:after="120"/>
              <w:rPr>
                <w:lang w:val="en-AU"/>
              </w:rPr>
            </w:pPr>
            <w:r w:rsidRPr="00875569">
              <w:rPr>
                <w:lang w:val="en-AU"/>
              </w:rPr>
              <w:t>Intra cluster corr</w:t>
            </w:r>
            <w:r w:rsidR="00206C4B">
              <w:rPr>
                <w:lang w:val="en-AU"/>
              </w:rPr>
              <w:t>.</w:t>
            </w:r>
            <w:r w:rsidR="00F92B33">
              <w:rPr>
                <w:lang w:val="en-AU"/>
              </w:rPr>
              <w:t xml:space="preserve"> (Rho)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5569" w:rsidRPr="00206C4B" w:rsidRDefault="00206C4B" w:rsidP="00F92B33">
            <w:pPr>
              <w:spacing w:after="120"/>
              <w:jc w:val="right"/>
              <w:rPr>
                <w:lang w:val="en-AU"/>
              </w:rPr>
            </w:pPr>
            <w:r w:rsidRPr="00206C4B">
              <w:rPr>
                <w:lang w:val="en-AU"/>
              </w:rPr>
              <w:t>0.0</w:t>
            </w:r>
            <w:r w:rsidR="006F10B9">
              <w:rPr>
                <w:lang w:val="en-A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5569" w:rsidRPr="00206C4B" w:rsidRDefault="00206C4B" w:rsidP="00F92B33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0.0</w:t>
            </w:r>
            <w:r w:rsidR="00B555E0">
              <w:rPr>
                <w:lang w:val="en-A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75569" w:rsidRPr="00206C4B" w:rsidRDefault="00206C4B" w:rsidP="00F92B33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0.09</w:t>
            </w:r>
            <w:r w:rsidR="00B555E0">
              <w:rPr>
                <w:lang w:val="en-A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875569" w:rsidRPr="00206C4B" w:rsidRDefault="00206C4B" w:rsidP="00F92B33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0.08</w:t>
            </w:r>
            <w:r w:rsidR="00B555E0">
              <w:rPr>
                <w:lang w:val="en-A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75569" w:rsidRPr="00206C4B" w:rsidRDefault="00944CAF" w:rsidP="00F92B33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0.08</w:t>
            </w:r>
            <w:r w:rsidR="00B555E0">
              <w:rPr>
                <w:lang w:val="en-A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5569" w:rsidRPr="00206C4B" w:rsidRDefault="00944CAF" w:rsidP="00F92B33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0.01</w:t>
            </w:r>
          </w:p>
        </w:tc>
      </w:tr>
      <w:tr w:rsidR="00206C4B" w:rsidTr="004755F2">
        <w:trPr>
          <w:jc w:val="center"/>
        </w:trPr>
        <w:tc>
          <w:tcPr>
            <w:tcW w:w="1985" w:type="dxa"/>
          </w:tcPr>
          <w:p w:rsidR="00206C4B" w:rsidRPr="00875569" w:rsidRDefault="00206C4B" w:rsidP="00875569">
            <w:pPr>
              <w:spacing w:after="120"/>
              <w:rPr>
                <w:lang w:val="en-AU"/>
              </w:rPr>
            </w:pPr>
            <w:r>
              <w:rPr>
                <w:lang w:val="en-AU"/>
              </w:rPr>
              <w:t>SE</w:t>
            </w:r>
          </w:p>
        </w:tc>
        <w:tc>
          <w:tcPr>
            <w:tcW w:w="1417" w:type="dxa"/>
          </w:tcPr>
          <w:p w:rsidR="00206C4B" w:rsidRPr="00206C4B" w:rsidRDefault="00206C4B" w:rsidP="00206C4B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(0.0</w:t>
            </w:r>
            <w:r w:rsidR="00B555E0">
              <w:rPr>
                <w:lang w:val="en-AU"/>
              </w:rPr>
              <w:t>00</w:t>
            </w:r>
            <w:r>
              <w:rPr>
                <w:lang w:val="en-AU"/>
              </w:rPr>
              <w:t>)</w:t>
            </w:r>
          </w:p>
        </w:tc>
        <w:tc>
          <w:tcPr>
            <w:tcW w:w="1134" w:type="dxa"/>
          </w:tcPr>
          <w:p w:rsidR="00206C4B" w:rsidRPr="00206C4B" w:rsidRDefault="00206C4B" w:rsidP="00206C4B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(0.0</w:t>
            </w:r>
            <w:r w:rsidR="00B555E0">
              <w:rPr>
                <w:lang w:val="en-AU"/>
              </w:rPr>
              <w:t>08</w:t>
            </w:r>
            <w:r>
              <w:rPr>
                <w:lang w:val="en-AU"/>
              </w:rPr>
              <w:t>)</w:t>
            </w:r>
          </w:p>
        </w:tc>
        <w:tc>
          <w:tcPr>
            <w:tcW w:w="1560" w:type="dxa"/>
          </w:tcPr>
          <w:p w:rsidR="00206C4B" w:rsidRPr="00206C4B" w:rsidRDefault="00206C4B" w:rsidP="00206C4B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(0.0</w:t>
            </w:r>
            <w:r w:rsidR="00B555E0">
              <w:rPr>
                <w:lang w:val="en-AU"/>
              </w:rPr>
              <w:t>49</w:t>
            </w:r>
            <w:r>
              <w:rPr>
                <w:lang w:val="en-AU"/>
              </w:rPr>
              <w:t>)</w:t>
            </w:r>
          </w:p>
        </w:tc>
        <w:tc>
          <w:tcPr>
            <w:tcW w:w="991" w:type="dxa"/>
          </w:tcPr>
          <w:p w:rsidR="00206C4B" w:rsidRPr="00206C4B" w:rsidRDefault="00206C4B" w:rsidP="00206C4B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(0.05</w:t>
            </w:r>
            <w:r w:rsidR="00B555E0">
              <w:rPr>
                <w:lang w:val="en-AU"/>
              </w:rPr>
              <w:t>4</w:t>
            </w:r>
            <w:r>
              <w:rPr>
                <w:lang w:val="en-AU"/>
              </w:rPr>
              <w:t>)</w:t>
            </w:r>
          </w:p>
        </w:tc>
        <w:tc>
          <w:tcPr>
            <w:tcW w:w="1135" w:type="dxa"/>
          </w:tcPr>
          <w:p w:rsidR="00206C4B" w:rsidRPr="00206C4B" w:rsidRDefault="00944CAF" w:rsidP="00206C4B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(0.05</w:t>
            </w:r>
            <w:r w:rsidR="00B555E0">
              <w:rPr>
                <w:lang w:val="en-AU"/>
              </w:rPr>
              <w:t>4</w:t>
            </w:r>
            <w:r>
              <w:rPr>
                <w:lang w:val="en-AU"/>
              </w:rPr>
              <w:t>)</w:t>
            </w:r>
          </w:p>
        </w:tc>
        <w:tc>
          <w:tcPr>
            <w:tcW w:w="1276" w:type="dxa"/>
          </w:tcPr>
          <w:p w:rsidR="00206C4B" w:rsidRPr="00206C4B" w:rsidRDefault="00944CAF" w:rsidP="00206C4B">
            <w:pPr>
              <w:spacing w:after="120"/>
              <w:jc w:val="right"/>
              <w:rPr>
                <w:lang w:val="en-AU"/>
              </w:rPr>
            </w:pPr>
            <w:r>
              <w:rPr>
                <w:lang w:val="en-AU"/>
              </w:rPr>
              <w:t>(0.0</w:t>
            </w:r>
            <w:r w:rsidR="00B555E0">
              <w:rPr>
                <w:lang w:val="en-AU"/>
              </w:rPr>
              <w:t>23</w:t>
            </w:r>
            <w:r>
              <w:rPr>
                <w:lang w:val="en-AU"/>
              </w:rPr>
              <w:t>)</w:t>
            </w:r>
          </w:p>
        </w:tc>
      </w:tr>
    </w:tbl>
    <w:p w:rsidR="005C5A88" w:rsidRDefault="005C5A88" w:rsidP="005F2259">
      <w:pPr>
        <w:rPr>
          <w:lang w:val="en-US"/>
        </w:rPr>
      </w:pPr>
    </w:p>
    <w:p w:rsidR="005D715B" w:rsidRDefault="005D715B" w:rsidP="005F2259">
      <w:pPr>
        <w:rPr>
          <w:lang w:val="en-US"/>
        </w:rPr>
      </w:pPr>
    </w:p>
    <w:p w:rsidR="005D715B" w:rsidRDefault="005D715B" w:rsidP="003766B0">
      <w:pPr>
        <w:spacing w:line="276" w:lineRule="auto"/>
        <w:jc w:val="both"/>
        <w:rPr>
          <w:lang w:val="en-US"/>
        </w:rPr>
      </w:pPr>
      <w:r w:rsidRPr="0066415D">
        <w:rPr>
          <w:b/>
          <w:lang w:val="en-AU"/>
        </w:rPr>
        <w:t>S</w:t>
      </w:r>
      <w:r w:rsidR="00263AA0">
        <w:rPr>
          <w:b/>
          <w:lang w:val="en-AU"/>
        </w:rPr>
        <w:t>3</w:t>
      </w:r>
      <w:r w:rsidR="006404BF">
        <w:rPr>
          <w:b/>
          <w:lang w:val="en-AU"/>
        </w:rPr>
        <w:t>B</w:t>
      </w:r>
      <w:r w:rsidRPr="0066415D">
        <w:rPr>
          <w:b/>
          <w:lang w:val="en-AU"/>
        </w:rPr>
        <w:t xml:space="preserve"> Table. </w:t>
      </w:r>
      <w:r>
        <w:rPr>
          <w:b/>
          <w:lang w:val="en-AU"/>
        </w:rPr>
        <w:t>Association matrix among wellbeing outcomes.</w:t>
      </w:r>
      <w:r w:rsidR="006404BF">
        <w:rPr>
          <w:b/>
          <w:lang w:val="en-AU"/>
        </w:rPr>
        <w:t xml:space="preserve"> </w:t>
      </w:r>
      <w:r w:rsidR="006404BF">
        <w:rPr>
          <w:lang w:val="en-US"/>
        </w:rPr>
        <w:t xml:space="preserve">Association between households’ incomes and assets were estimated using the Pearson’s pairwise correlation. To measure association between (semi) continuous variables and binary ones (the two perceived wellbeing variables) we ran </w:t>
      </w:r>
      <w:proofErr w:type="spellStart"/>
      <w:r w:rsidR="006404BF">
        <w:rPr>
          <w:lang w:val="en-US"/>
        </w:rPr>
        <w:t>probit</w:t>
      </w:r>
      <w:proofErr w:type="spellEnd"/>
      <w:r w:rsidR="006404BF">
        <w:rPr>
          <w:lang w:val="en-US"/>
        </w:rPr>
        <w:t xml:space="preserve"> regressions using each binary variable as only regressor</w:t>
      </w:r>
      <w:r w:rsidR="003766B0">
        <w:rPr>
          <w:lang w:val="en-US"/>
        </w:rPr>
        <w:t>,</w:t>
      </w:r>
      <w:r w:rsidR="006404BF">
        <w:rPr>
          <w:lang w:val="en-US"/>
        </w:rPr>
        <w:t xml:space="preserve"> and marginal effects </w:t>
      </w:r>
      <w:r w:rsidR="003766B0">
        <w:rPr>
          <w:lang w:val="en-US"/>
        </w:rPr>
        <w:t xml:space="preserve">at means </w:t>
      </w:r>
      <w:r w:rsidR="006404BF">
        <w:rPr>
          <w:lang w:val="en-US"/>
        </w:rPr>
        <w:t>are reported. Finally, to measure the association between both binary variable we used the tetrachoric correlation coefficient [-1, 1]. We report statistical significance</w:t>
      </w:r>
      <w:r w:rsidR="006404BF" w:rsidRPr="007C5D4F">
        <w:rPr>
          <w:lang w:val="en-AU"/>
        </w:rPr>
        <w:t xml:space="preserve"> at 10%*, 5%** or 1%***</w:t>
      </w:r>
      <w:r w:rsidR="006404BF">
        <w:rPr>
          <w:lang w:val="en-US"/>
        </w:rPr>
        <w:t>.</w:t>
      </w:r>
    </w:p>
    <w:p w:rsidR="006404BF" w:rsidRDefault="006404BF" w:rsidP="006404BF">
      <w:pPr>
        <w:jc w:val="both"/>
        <w:rPr>
          <w:lang w:val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5C5A88" w:rsidRPr="006404BF" w:rsidTr="006404BF">
        <w:trPr>
          <w:trHeight w:val="840"/>
        </w:trPr>
        <w:tc>
          <w:tcPr>
            <w:tcW w:w="1728" w:type="dxa"/>
            <w:shd w:val="clear" w:color="000000" w:fill="BFBFBF"/>
            <w:noWrap/>
            <w:vAlign w:val="bottom"/>
            <w:hideMark/>
          </w:tcPr>
          <w:p w:rsidR="005C5A88" w:rsidRPr="006404BF" w:rsidRDefault="005C5A88">
            <w:pPr>
              <w:rPr>
                <w:rFonts w:ascii="Calibri" w:hAnsi="Calibri"/>
                <w:color w:val="000000"/>
                <w:lang w:val="en-US"/>
              </w:rPr>
            </w:pPr>
            <w:r w:rsidRPr="006404BF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1728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 xml:space="preserve">Year HH. </w:t>
            </w:r>
            <w:r w:rsidR="005D715B" w:rsidRPr="006404BF">
              <w:rPr>
                <w:b/>
                <w:bCs/>
                <w:color w:val="000000"/>
                <w:lang w:val="en-AU"/>
              </w:rPr>
              <w:t>I</w:t>
            </w:r>
            <w:r w:rsidRPr="006404BF">
              <w:rPr>
                <w:b/>
                <w:bCs/>
                <w:color w:val="000000"/>
                <w:lang w:val="en-AU"/>
              </w:rPr>
              <w:t>ncome change</w:t>
            </w:r>
          </w:p>
        </w:tc>
        <w:tc>
          <w:tcPr>
            <w:tcW w:w="1729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Assets</w:t>
            </w:r>
          </w:p>
        </w:tc>
        <w:tc>
          <w:tcPr>
            <w:tcW w:w="1728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Improved life quality (0/1)</w:t>
            </w:r>
          </w:p>
        </w:tc>
        <w:tc>
          <w:tcPr>
            <w:tcW w:w="1729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Worsened life quality (0/1)</w:t>
            </w:r>
          </w:p>
        </w:tc>
      </w:tr>
      <w:tr w:rsidR="005C5A88" w:rsidRPr="006404BF" w:rsidTr="006404BF">
        <w:trPr>
          <w:trHeight w:val="560"/>
        </w:trPr>
        <w:tc>
          <w:tcPr>
            <w:tcW w:w="1728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Year HH. income change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1.00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0.1</w:t>
            </w:r>
            <w:r w:rsidR="004755F2">
              <w:rPr>
                <w:color w:val="000000"/>
              </w:rPr>
              <w:t>57</w:t>
            </w:r>
            <w:r w:rsidRPr="006404BF">
              <w:rPr>
                <w:color w:val="000000"/>
              </w:rPr>
              <w:t>*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-0.02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0.00</w:t>
            </w:r>
            <w:r w:rsidR="003766B0">
              <w:rPr>
                <w:color w:val="000000"/>
              </w:rPr>
              <w:t>5</w:t>
            </w:r>
          </w:p>
        </w:tc>
      </w:tr>
      <w:tr w:rsidR="005C5A88" w:rsidRPr="006404BF" w:rsidTr="006404BF">
        <w:trPr>
          <w:trHeight w:val="540"/>
        </w:trPr>
        <w:tc>
          <w:tcPr>
            <w:tcW w:w="1728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Assets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1.00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0.0</w:t>
            </w:r>
            <w:r w:rsidR="004755F2">
              <w:rPr>
                <w:color w:val="000000"/>
              </w:rPr>
              <w:t>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-0.0</w:t>
            </w:r>
            <w:r w:rsidR="003766B0">
              <w:rPr>
                <w:color w:val="000000"/>
              </w:rPr>
              <w:t>36</w:t>
            </w:r>
          </w:p>
        </w:tc>
      </w:tr>
      <w:tr w:rsidR="005C5A88" w:rsidRPr="006404BF" w:rsidTr="006404BF">
        <w:trPr>
          <w:trHeight w:val="560"/>
        </w:trPr>
        <w:tc>
          <w:tcPr>
            <w:tcW w:w="1728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Improved life quality (0/1)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1.00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-1.00***</w:t>
            </w:r>
          </w:p>
        </w:tc>
      </w:tr>
      <w:tr w:rsidR="005C5A88" w:rsidRPr="006404BF" w:rsidTr="006404BF">
        <w:trPr>
          <w:trHeight w:val="560"/>
        </w:trPr>
        <w:tc>
          <w:tcPr>
            <w:tcW w:w="1728" w:type="dxa"/>
            <w:shd w:val="clear" w:color="000000" w:fill="BFBFBF"/>
            <w:vAlign w:val="center"/>
            <w:hideMark/>
          </w:tcPr>
          <w:p w:rsidR="005C5A88" w:rsidRPr="006404BF" w:rsidRDefault="005C5A88">
            <w:pPr>
              <w:jc w:val="center"/>
              <w:rPr>
                <w:b/>
                <w:bCs/>
                <w:color w:val="000000"/>
              </w:rPr>
            </w:pPr>
            <w:r w:rsidRPr="006404BF">
              <w:rPr>
                <w:b/>
                <w:bCs/>
                <w:color w:val="000000"/>
                <w:lang w:val="en-AU"/>
              </w:rPr>
              <w:t>Worsened life quality (0/1)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-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C5A88" w:rsidRPr="006404BF" w:rsidRDefault="005C5A88">
            <w:pPr>
              <w:jc w:val="right"/>
              <w:rPr>
                <w:color w:val="000000"/>
              </w:rPr>
            </w:pPr>
            <w:r w:rsidRPr="006404BF">
              <w:rPr>
                <w:color w:val="000000"/>
              </w:rPr>
              <w:t>1.00</w:t>
            </w:r>
          </w:p>
        </w:tc>
      </w:tr>
    </w:tbl>
    <w:p w:rsidR="005C5A88" w:rsidRDefault="005C5A88" w:rsidP="001B73E8">
      <w:pPr>
        <w:jc w:val="both"/>
        <w:rPr>
          <w:lang w:val="en-US"/>
        </w:rPr>
      </w:pPr>
    </w:p>
    <w:p w:rsidR="004162F5" w:rsidRDefault="004162F5" w:rsidP="001B73E8">
      <w:pPr>
        <w:jc w:val="both"/>
        <w:rPr>
          <w:lang w:val="en-US"/>
        </w:rPr>
      </w:pPr>
    </w:p>
    <w:p w:rsidR="004162F5" w:rsidRDefault="004162F5" w:rsidP="001B73E8">
      <w:pPr>
        <w:jc w:val="both"/>
        <w:rPr>
          <w:lang w:val="en-US"/>
        </w:rPr>
        <w:sectPr w:rsidR="004162F5" w:rsidSect="00BC51CA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4162F5" w:rsidRDefault="00D82972" w:rsidP="00E8721C">
      <w:pPr>
        <w:spacing w:line="276" w:lineRule="auto"/>
        <w:jc w:val="both"/>
        <w:rPr>
          <w:lang w:val="en-US"/>
        </w:rPr>
      </w:pPr>
      <w:r w:rsidRPr="00D82972">
        <w:rPr>
          <w:b/>
          <w:lang w:val="en-US"/>
        </w:rPr>
        <w:lastRenderedPageBreak/>
        <w:t>S3C Table. Estimation of the inflation-adjusted updated costs of the initiative</w:t>
      </w:r>
      <w:r>
        <w:rPr>
          <w:b/>
          <w:lang w:val="en-US"/>
        </w:rPr>
        <w:t xml:space="preserve">. </w:t>
      </w:r>
      <w:r w:rsidR="00E8721C" w:rsidRPr="00E8721C">
        <w:rPr>
          <w:lang w:val="en-US"/>
        </w:rPr>
        <w:t>We share each project annual amounts in equal percentages  according its corresponding lifespan (Fig 1), because we don’t access to information detailed timing of each disbursement. We use 4% as discount rate following public investment National regulations</w:t>
      </w:r>
      <w:r w:rsidR="00E8721C">
        <w:rPr>
          <w:lang w:val="en-US"/>
        </w:rPr>
        <w:t xml:space="preserve"> in force</w:t>
      </w:r>
      <w:r w:rsidR="00E8721C" w:rsidRPr="00E8721C">
        <w:rPr>
          <w:lang w:val="en-US"/>
        </w:rPr>
        <w:t>*, and an exchange rate of 3.3 PEN per US dollar.</w:t>
      </w:r>
    </w:p>
    <w:p w:rsidR="004162F5" w:rsidRDefault="004162F5" w:rsidP="001B73E8">
      <w:pPr>
        <w:jc w:val="both"/>
        <w:rPr>
          <w:lang w:val="en-US"/>
        </w:rPr>
      </w:pPr>
    </w:p>
    <w:tbl>
      <w:tblPr>
        <w:tblW w:w="1431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003"/>
        <w:gridCol w:w="993"/>
        <w:gridCol w:w="992"/>
        <w:gridCol w:w="709"/>
        <w:gridCol w:w="708"/>
        <w:gridCol w:w="993"/>
        <w:gridCol w:w="992"/>
        <w:gridCol w:w="992"/>
        <w:gridCol w:w="992"/>
        <w:gridCol w:w="993"/>
        <w:gridCol w:w="1077"/>
        <w:gridCol w:w="949"/>
        <w:gridCol w:w="950"/>
      </w:tblGrid>
      <w:tr w:rsidR="00D82972" w:rsidRPr="00D82972" w:rsidTr="00D82972">
        <w:trPr>
          <w:trHeight w:val="32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82972" w:rsidRPr="00D82972" w:rsidTr="00D82972">
        <w:trPr>
          <w:trHeight w:val="34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6DCC" w:rsidRPr="004162F5" w:rsidRDefault="00B36DCC" w:rsidP="00416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DCC" w:rsidRPr="004162F5" w:rsidRDefault="00B36DCC" w:rsidP="00416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36DCC" w:rsidRPr="00B36DCC" w:rsidTr="00D82972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Cuencas Andinas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6DCC" w:rsidRPr="00B36DCC" w:rsidTr="00D82972">
        <w:trPr>
          <w:trHeight w:val="360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Proyecto Especial Alto Mayo - PEAM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386,223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386,223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386,223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386,223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6DCC" w:rsidRPr="00B36DCC" w:rsidTr="00D82972">
        <w:trPr>
          <w:trHeight w:val="340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EPS Moyobamba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188,000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188,000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188,000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6DCC" w:rsidRPr="00B36DCC" w:rsidTr="00D82972">
        <w:trPr>
          <w:trHeight w:val="340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RARE-Pride Campaign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6DCC" w:rsidRPr="00B36DCC" w:rsidTr="00D82972">
        <w:trPr>
          <w:trHeight w:val="340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BID-MINAM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132,110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6DCC" w:rsidRPr="00B36DCC" w:rsidTr="00D82972">
        <w:trPr>
          <w:trHeight w:val="360"/>
        </w:trPr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Profonanpe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32,500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32,500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6DCC" w:rsidRPr="00B36DCC" w:rsidTr="00D82972">
        <w:trPr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Annual cash flow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386,223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386,223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574,223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672,223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286,000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164,610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32,500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6DCC" w:rsidRPr="00B36DCC" w:rsidTr="00D82972">
        <w:trPr>
          <w:trHeight w:val="38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Annual nationwide average inflation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3.70%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1.60%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2.00%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1.80%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5.80%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2.90%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1.50%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3.40%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3.70%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2.80%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3.20%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3.50%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color w:val="000000"/>
                <w:sz w:val="18"/>
                <w:szCs w:val="18"/>
              </w:rPr>
            </w:pPr>
            <w:r w:rsidRPr="004162F5">
              <w:rPr>
                <w:color w:val="000000"/>
                <w:sz w:val="18"/>
                <w:szCs w:val="18"/>
              </w:rPr>
              <w:t>3.60%</w:t>
            </w:r>
          </w:p>
        </w:tc>
      </w:tr>
      <w:tr w:rsidR="00B36DCC" w:rsidRPr="00B36DCC" w:rsidTr="00D82972">
        <w:trPr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CC" w:rsidRPr="004162F5" w:rsidRDefault="00B36DCC" w:rsidP="00D829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Adjunted annual cash flow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109,000.00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107,283.46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104,767.40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334,781.35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353,217.23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454,398.42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502,670.40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223,063.24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120,132.15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22,260.74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CC" w:rsidRPr="004162F5" w:rsidRDefault="00B36DCC" w:rsidP="00D829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82972" w:rsidRPr="00B36DCC" w:rsidTr="00D82972">
        <w:trPr>
          <w:gridAfter w:val="9"/>
          <w:wAfter w:w="8646" w:type="dxa"/>
          <w:trHeight w:val="700"/>
        </w:trPr>
        <w:tc>
          <w:tcPr>
            <w:tcW w:w="1974" w:type="dxa"/>
            <w:shd w:val="clear" w:color="auto" w:fill="auto"/>
            <w:vAlign w:val="center"/>
          </w:tcPr>
          <w:p w:rsidR="00D82972" w:rsidRPr="004162F5" w:rsidRDefault="00D82972" w:rsidP="00D8297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  <w:lang w:val="en-US"/>
              </w:rPr>
              <w:t>Updated costs of the initiative</w:t>
            </w:r>
          </w:p>
        </w:tc>
        <w:tc>
          <w:tcPr>
            <w:tcW w:w="1996" w:type="dxa"/>
            <w:gridSpan w:val="2"/>
            <w:shd w:val="clear" w:color="auto" w:fill="auto"/>
            <w:noWrap/>
            <w:vAlign w:val="center"/>
          </w:tcPr>
          <w:p w:rsidR="00D82972" w:rsidRPr="004162F5" w:rsidRDefault="00D82972" w:rsidP="00D829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i/>
                <w:iCs/>
                <w:color w:val="000000"/>
                <w:sz w:val="20"/>
                <w:szCs w:val="20"/>
              </w:rPr>
              <w:t>S/2,198,073.97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82972" w:rsidRPr="004162F5" w:rsidRDefault="00D82972" w:rsidP="00D829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 xml:space="preserve">$666,083.02 </w:t>
            </w:r>
          </w:p>
        </w:tc>
      </w:tr>
      <w:tr w:rsidR="00D82972" w:rsidRPr="00B36DCC" w:rsidTr="00D82972">
        <w:trPr>
          <w:gridAfter w:val="9"/>
          <w:wAfter w:w="8646" w:type="dxa"/>
          <w:trHeight w:val="700"/>
        </w:trPr>
        <w:tc>
          <w:tcPr>
            <w:tcW w:w="1974" w:type="dxa"/>
            <w:shd w:val="clear" w:color="auto" w:fill="auto"/>
            <w:vAlign w:val="center"/>
          </w:tcPr>
          <w:p w:rsidR="00D82972" w:rsidRPr="004162F5" w:rsidRDefault="00D82972" w:rsidP="00D8297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2F5">
              <w:rPr>
                <w:b/>
                <w:bCs/>
                <w:color w:val="000000"/>
                <w:sz w:val="18"/>
                <w:szCs w:val="18"/>
                <w:lang w:val="en-US"/>
              </w:rPr>
              <w:t>Inflation-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adjusted</w:t>
            </w:r>
            <w:r w:rsidRPr="004162F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updated costs of the initiative</w:t>
            </w:r>
          </w:p>
        </w:tc>
        <w:tc>
          <w:tcPr>
            <w:tcW w:w="1996" w:type="dxa"/>
            <w:gridSpan w:val="2"/>
            <w:shd w:val="clear" w:color="auto" w:fill="auto"/>
            <w:noWrap/>
            <w:vAlign w:val="center"/>
          </w:tcPr>
          <w:p w:rsidR="00D82972" w:rsidRPr="004162F5" w:rsidRDefault="00D82972" w:rsidP="00D829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i/>
                <w:iCs/>
                <w:color w:val="000000"/>
                <w:sz w:val="20"/>
                <w:szCs w:val="20"/>
              </w:rPr>
              <w:t>S/1,828,279.29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82972" w:rsidRPr="004162F5" w:rsidRDefault="00D82972" w:rsidP="00D829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62F5">
              <w:rPr>
                <w:b/>
                <w:bCs/>
                <w:color w:val="000000"/>
                <w:sz w:val="20"/>
                <w:szCs w:val="20"/>
              </w:rPr>
              <w:t xml:space="preserve">$554,024.03 </w:t>
            </w:r>
          </w:p>
        </w:tc>
      </w:tr>
    </w:tbl>
    <w:p w:rsidR="004162F5" w:rsidRDefault="004162F5" w:rsidP="001B73E8">
      <w:pPr>
        <w:jc w:val="both"/>
        <w:rPr>
          <w:lang w:val="en-US"/>
        </w:rPr>
      </w:pPr>
    </w:p>
    <w:p w:rsidR="00E8721C" w:rsidRPr="00E8721C" w:rsidRDefault="00E8721C" w:rsidP="001B73E8">
      <w:pPr>
        <w:jc w:val="both"/>
        <w:rPr>
          <w:sz w:val="20"/>
          <w:szCs w:val="20"/>
          <w:lang w:val="en-US"/>
        </w:rPr>
      </w:pPr>
      <w:r w:rsidRPr="00E8721C">
        <w:rPr>
          <w:sz w:val="20"/>
          <w:szCs w:val="20"/>
          <w:lang w:val="en-US"/>
        </w:rPr>
        <w:t xml:space="preserve">(*) </w:t>
      </w:r>
      <w:hyperlink r:id="rId6" w:history="1">
        <w:r w:rsidRPr="00E8721C">
          <w:rPr>
            <w:rStyle w:val="Hipervnculo"/>
            <w:sz w:val="20"/>
            <w:szCs w:val="20"/>
            <w:lang w:val="en-US"/>
          </w:rPr>
          <w:t>http://www.minam.gob.pe/oficina-general-de-planeamiento-y-presupuesto/wp-content/uploads/sites/139/2018/01/29.09.2017-Directiva-002-II-parte-MEF-1.pdf</w:t>
        </w:r>
      </w:hyperlink>
      <w:r w:rsidRPr="00E8721C">
        <w:rPr>
          <w:sz w:val="20"/>
          <w:szCs w:val="20"/>
          <w:lang w:val="en-US"/>
        </w:rPr>
        <w:t xml:space="preserve">. </w:t>
      </w:r>
    </w:p>
    <w:sectPr w:rsidR="00E8721C" w:rsidRPr="00E8721C" w:rsidSect="004162F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2C6"/>
    <w:multiLevelType w:val="hybridMultilevel"/>
    <w:tmpl w:val="394A1D66"/>
    <w:lvl w:ilvl="0" w:tplc="3506770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C0E"/>
    <w:multiLevelType w:val="hybridMultilevel"/>
    <w:tmpl w:val="23501474"/>
    <w:lvl w:ilvl="0" w:tplc="F82446AA">
      <w:start w:val="1"/>
      <w:numFmt w:val="lowerLetter"/>
      <w:lvlText w:val="(%1)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6CB"/>
    <w:multiLevelType w:val="hybridMultilevel"/>
    <w:tmpl w:val="61EACB0E"/>
    <w:lvl w:ilvl="0" w:tplc="8BFC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6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4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6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2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F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0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6226D8"/>
    <w:multiLevelType w:val="hybridMultilevel"/>
    <w:tmpl w:val="C8142E9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Referencias bibliografica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2e2fzrizp5egesxzm55s2ja050xtd2ssfs&quot;&gt;Certificacion3-Saved2&lt;record-ids&gt;&lt;item&gt;130&lt;/item&gt;&lt;item&gt;1496&lt;/item&gt;&lt;item&gt;1650&lt;/item&gt;&lt;item&gt;1743&lt;/item&gt;&lt;item&gt;1941&lt;/item&gt;&lt;item&gt;1942&lt;/item&gt;&lt;item&gt;2095&lt;/item&gt;&lt;item&gt;2096&lt;/item&gt;&lt;item&gt;2098&lt;/item&gt;&lt;item&gt;2100&lt;/item&gt;&lt;item&gt;2101&lt;/item&gt;&lt;item&gt;2108&lt;/item&gt;&lt;item&gt;2299&lt;/item&gt;&lt;item&gt;2470&lt;/item&gt;&lt;item&gt;2526&lt;/item&gt;&lt;item&gt;2530&lt;/item&gt;&lt;item&gt;2531&lt;/item&gt;&lt;item&gt;2533&lt;/item&gt;&lt;item&gt;2537&lt;/item&gt;&lt;item&gt;2539&lt;/item&gt;&lt;/record-ids&gt;&lt;/item&gt;&lt;/Libraries&gt;"/>
  </w:docVars>
  <w:rsids>
    <w:rsidRoot w:val="006E1786"/>
    <w:rsid w:val="0000470D"/>
    <w:rsid w:val="00007E01"/>
    <w:rsid w:val="0001137D"/>
    <w:rsid w:val="00015B7A"/>
    <w:rsid w:val="00021801"/>
    <w:rsid w:val="000247AA"/>
    <w:rsid w:val="00026DB9"/>
    <w:rsid w:val="000375B4"/>
    <w:rsid w:val="000473D2"/>
    <w:rsid w:val="00061A64"/>
    <w:rsid w:val="000665D1"/>
    <w:rsid w:val="00085B90"/>
    <w:rsid w:val="00091D78"/>
    <w:rsid w:val="000A2BF1"/>
    <w:rsid w:val="000A7921"/>
    <w:rsid w:val="000C0CC8"/>
    <w:rsid w:val="000D1054"/>
    <w:rsid w:val="000E741A"/>
    <w:rsid w:val="000F0510"/>
    <w:rsid w:val="000F0824"/>
    <w:rsid w:val="000F19F4"/>
    <w:rsid w:val="000F76EF"/>
    <w:rsid w:val="000F7DAA"/>
    <w:rsid w:val="001118B0"/>
    <w:rsid w:val="001119F2"/>
    <w:rsid w:val="00113959"/>
    <w:rsid w:val="00114B0A"/>
    <w:rsid w:val="001159BE"/>
    <w:rsid w:val="001232B7"/>
    <w:rsid w:val="0013245F"/>
    <w:rsid w:val="00146286"/>
    <w:rsid w:val="001465EF"/>
    <w:rsid w:val="00152CE5"/>
    <w:rsid w:val="00156888"/>
    <w:rsid w:val="00164427"/>
    <w:rsid w:val="001A0D1B"/>
    <w:rsid w:val="001A3256"/>
    <w:rsid w:val="001A3C21"/>
    <w:rsid w:val="001B20D3"/>
    <w:rsid w:val="001B73E8"/>
    <w:rsid w:val="001C5F8F"/>
    <w:rsid w:val="001C6567"/>
    <w:rsid w:val="001D2D87"/>
    <w:rsid w:val="001D54A6"/>
    <w:rsid w:val="001E197F"/>
    <w:rsid w:val="001E1C55"/>
    <w:rsid w:val="001E2105"/>
    <w:rsid w:val="001E5062"/>
    <w:rsid w:val="00200A5E"/>
    <w:rsid w:val="00206C4B"/>
    <w:rsid w:val="00226279"/>
    <w:rsid w:val="00234C89"/>
    <w:rsid w:val="00236A50"/>
    <w:rsid w:val="002372D7"/>
    <w:rsid w:val="002421EE"/>
    <w:rsid w:val="002435E0"/>
    <w:rsid w:val="00263AA0"/>
    <w:rsid w:val="00271AE7"/>
    <w:rsid w:val="002720A1"/>
    <w:rsid w:val="00272C70"/>
    <w:rsid w:val="00275220"/>
    <w:rsid w:val="00283DA5"/>
    <w:rsid w:val="00283DEE"/>
    <w:rsid w:val="00293F31"/>
    <w:rsid w:val="00295332"/>
    <w:rsid w:val="002B1222"/>
    <w:rsid w:val="002B1545"/>
    <w:rsid w:val="002B1D15"/>
    <w:rsid w:val="002C7D53"/>
    <w:rsid w:val="002D1DCF"/>
    <w:rsid w:val="002D3476"/>
    <w:rsid w:val="002D5543"/>
    <w:rsid w:val="002E02D2"/>
    <w:rsid w:val="002E7AD7"/>
    <w:rsid w:val="002F10FA"/>
    <w:rsid w:val="002F5525"/>
    <w:rsid w:val="003059EE"/>
    <w:rsid w:val="0030742B"/>
    <w:rsid w:val="00330AC3"/>
    <w:rsid w:val="00336846"/>
    <w:rsid w:val="00341A5F"/>
    <w:rsid w:val="00354989"/>
    <w:rsid w:val="00364168"/>
    <w:rsid w:val="003654A4"/>
    <w:rsid w:val="0036779F"/>
    <w:rsid w:val="0036781F"/>
    <w:rsid w:val="003766B0"/>
    <w:rsid w:val="00397183"/>
    <w:rsid w:val="003A39E6"/>
    <w:rsid w:val="003A3BEC"/>
    <w:rsid w:val="003A6755"/>
    <w:rsid w:val="003E6346"/>
    <w:rsid w:val="003E717F"/>
    <w:rsid w:val="003F52BB"/>
    <w:rsid w:val="00404EF5"/>
    <w:rsid w:val="00413927"/>
    <w:rsid w:val="004150E4"/>
    <w:rsid w:val="004162F5"/>
    <w:rsid w:val="0042405B"/>
    <w:rsid w:val="00440EEE"/>
    <w:rsid w:val="00450393"/>
    <w:rsid w:val="0045384F"/>
    <w:rsid w:val="00465ADE"/>
    <w:rsid w:val="004755F2"/>
    <w:rsid w:val="0048410D"/>
    <w:rsid w:val="00485EB7"/>
    <w:rsid w:val="004957CD"/>
    <w:rsid w:val="004A35DC"/>
    <w:rsid w:val="004A6B4B"/>
    <w:rsid w:val="004C3E7A"/>
    <w:rsid w:val="004C7144"/>
    <w:rsid w:val="004E7339"/>
    <w:rsid w:val="004E7E37"/>
    <w:rsid w:val="004F4A1C"/>
    <w:rsid w:val="0050566C"/>
    <w:rsid w:val="00506A0E"/>
    <w:rsid w:val="0053379E"/>
    <w:rsid w:val="005362A6"/>
    <w:rsid w:val="005431E9"/>
    <w:rsid w:val="00556162"/>
    <w:rsid w:val="005721F3"/>
    <w:rsid w:val="0057735D"/>
    <w:rsid w:val="005A2865"/>
    <w:rsid w:val="005A6514"/>
    <w:rsid w:val="005C57AD"/>
    <w:rsid w:val="005C5A88"/>
    <w:rsid w:val="005D0745"/>
    <w:rsid w:val="005D6B26"/>
    <w:rsid w:val="005D715B"/>
    <w:rsid w:val="005D74C2"/>
    <w:rsid w:val="005E217B"/>
    <w:rsid w:val="005E5EDD"/>
    <w:rsid w:val="005F2259"/>
    <w:rsid w:val="005F2970"/>
    <w:rsid w:val="005F6B99"/>
    <w:rsid w:val="00633B5C"/>
    <w:rsid w:val="00634C3B"/>
    <w:rsid w:val="006404BF"/>
    <w:rsid w:val="006410AF"/>
    <w:rsid w:val="00646181"/>
    <w:rsid w:val="00647C0D"/>
    <w:rsid w:val="0066415D"/>
    <w:rsid w:val="00687F40"/>
    <w:rsid w:val="00690C09"/>
    <w:rsid w:val="00693E81"/>
    <w:rsid w:val="006A26EB"/>
    <w:rsid w:val="006A660F"/>
    <w:rsid w:val="006C0587"/>
    <w:rsid w:val="006C6264"/>
    <w:rsid w:val="006E1786"/>
    <w:rsid w:val="006F0250"/>
    <w:rsid w:val="006F0749"/>
    <w:rsid w:val="006F10B9"/>
    <w:rsid w:val="006F1945"/>
    <w:rsid w:val="0070588E"/>
    <w:rsid w:val="00710B6D"/>
    <w:rsid w:val="0071221F"/>
    <w:rsid w:val="00713B3B"/>
    <w:rsid w:val="007273BA"/>
    <w:rsid w:val="00731726"/>
    <w:rsid w:val="007331DA"/>
    <w:rsid w:val="00735984"/>
    <w:rsid w:val="007467BC"/>
    <w:rsid w:val="007467C4"/>
    <w:rsid w:val="00747438"/>
    <w:rsid w:val="00751DA7"/>
    <w:rsid w:val="00752B0D"/>
    <w:rsid w:val="00752BCF"/>
    <w:rsid w:val="007537C3"/>
    <w:rsid w:val="0076009D"/>
    <w:rsid w:val="007616BE"/>
    <w:rsid w:val="0077405D"/>
    <w:rsid w:val="00775CB3"/>
    <w:rsid w:val="00780AA8"/>
    <w:rsid w:val="0078113C"/>
    <w:rsid w:val="00796220"/>
    <w:rsid w:val="007A016F"/>
    <w:rsid w:val="007A7C06"/>
    <w:rsid w:val="007B631A"/>
    <w:rsid w:val="007B6B46"/>
    <w:rsid w:val="007C3E34"/>
    <w:rsid w:val="007C5CFE"/>
    <w:rsid w:val="007C6C81"/>
    <w:rsid w:val="007D3B22"/>
    <w:rsid w:val="007E6B80"/>
    <w:rsid w:val="007F09D1"/>
    <w:rsid w:val="007F2779"/>
    <w:rsid w:val="007F392D"/>
    <w:rsid w:val="00806D0D"/>
    <w:rsid w:val="008071E1"/>
    <w:rsid w:val="00811D59"/>
    <w:rsid w:val="00830E07"/>
    <w:rsid w:val="008315E1"/>
    <w:rsid w:val="0083533D"/>
    <w:rsid w:val="00837CA9"/>
    <w:rsid w:val="008565C6"/>
    <w:rsid w:val="008640FC"/>
    <w:rsid w:val="00867E8B"/>
    <w:rsid w:val="008734B0"/>
    <w:rsid w:val="008740DA"/>
    <w:rsid w:val="00875569"/>
    <w:rsid w:val="00886A02"/>
    <w:rsid w:val="00891C41"/>
    <w:rsid w:val="00897301"/>
    <w:rsid w:val="008A6405"/>
    <w:rsid w:val="008A6949"/>
    <w:rsid w:val="008B42C8"/>
    <w:rsid w:val="008C25B2"/>
    <w:rsid w:val="008D0B76"/>
    <w:rsid w:val="008D2799"/>
    <w:rsid w:val="008D2A71"/>
    <w:rsid w:val="008D7E29"/>
    <w:rsid w:val="008E0D54"/>
    <w:rsid w:val="008E3826"/>
    <w:rsid w:val="008F625A"/>
    <w:rsid w:val="009013F8"/>
    <w:rsid w:val="00911DC3"/>
    <w:rsid w:val="00914A8C"/>
    <w:rsid w:val="00916CED"/>
    <w:rsid w:val="00922ECB"/>
    <w:rsid w:val="009245A5"/>
    <w:rsid w:val="00926049"/>
    <w:rsid w:val="009269EB"/>
    <w:rsid w:val="00944CAF"/>
    <w:rsid w:val="00956031"/>
    <w:rsid w:val="009714D6"/>
    <w:rsid w:val="009735AA"/>
    <w:rsid w:val="009738A0"/>
    <w:rsid w:val="00975C88"/>
    <w:rsid w:val="00991315"/>
    <w:rsid w:val="009951ED"/>
    <w:rsid w:val="00996968"/>
    <w:rsid w:val="009978DC"/>
    <w:rsid w:val="009A2254"/>
    <w:rsid w:val="009A2BCF"/>
    <w:rsid w:val="009A56B6"/>
    <w:rsid w:val="009C16AA"/>
    <w:rsid w:val="009C2CCA"/>
    <w:rsid w:val="009E7060"/>
    <w:rsid w:val="009E7E3A"/>
    <w:rsid w:val="009F0DA3"/>
    <w:rsid w:val="009F56C7"/>
    <w:rsid w:val="00A12D3B"/>
    <w:rsid w:val="00A17DD2"/>
    <w:rsid w:val="00A44BF3"/>
    <w:rsid w:val="00A5501D"/>
    <w:rsid w:val="00A55C67"/>
    <w:rsid w:val="00A63B46"/>
    <w:rsid w:val="00A660F2"/>
    <w:rsid w:val="00A87267"/>
    <w:rsid w:val="00A94FF4"/>
    <w:rsid w:val="00AA4D61"/>
    <w:rsid w:val="00AA61FE"/>
    <w:rsid w:val="00AA62C9"/>
    <w:rsid w:val="00AB1E3C"/>
    <w:rsid w:val="00AD0466"/>
    <w:rsid w:val="00AD10A2"/>
    <w:rsid w:val="00B05DA6"/>
    <w:rsid w:val="00B26343"/>
    <w:rsid w:val="00B26977"/>
    <w:rsid w:val="00B36DCC"/>
    <w:rsid w:val="00B447D3"/>
    <w:rsid w:val="00B45F8D"/>
    <w:rsid w:val="00B555E0"/>
    <w:rsid w:val="00B572EF"/>
    <w:rsid w:val="00B71E8D"/>
    <w:rsid w:val="00B73CBB"/>
    <w:rsid w:val="00B80269"/>
    <w:rsid w:val="00B9277D"/>
    <w:rsid w:val="00BB7533"/>
    <w:rsid w:val="00BB7F9A"/>
    <w:rsid w:val="00BC1DC5"/>
    <w:rsid w:val="00BC51CA"/>
    <w:rsid w:val="00BC61A6"/>
    <w:rsid w:val="00BE40CE"/>
    <w:rsid w:val="00BE6265"/>
    <w:rsid w:val="00BE6809"/>
    <w:rsid w:val="00BF1BF3"/>
    <w:rsid w:val="00BF5F3C"/>
    <w:rsid w:val="00C07A1E"/>
    <w:rsid w:val="00C306DD"/>
    <w:rsid w:val="00C41C31"/>
    <w:rsid w:val="00C82D0F"/>
    <w:rsid w:val="00C95AB3"/>
    <w:rsid w:val="00CC131D"/>
    <w:rsid w:val="00CD1C40"/>
    <w:rsid w:val="00CD723A"/>
    <w:rsid w:val="00D0147A"/>
    <w:rsid w:val="00D02428"/>
    <w:rsid w:val="00D113B6"/>
    <w:rsid w:val="00D26B60"/>
    <w:rsid w:val="00D61EBA"/>
    <w:rsid w:val="00D6637A"/>
    <w:rsid w:val="00D77AA6"/>
    <w:rsid w:val="00D80CA5"/>
    <w:rsid w:val="00D82972"/>
    <w:rsid w:val="00D82CA9"/>
    <w:rsid w:val="00D9055F"/>
    <w:rsid w:val="00DA0B50"/>
    <w:rsid w:val="00DB4A79"/>
    <w:rsid w:val="00DC03D7"/>
    <w:rsid w:val="00DC0521"/>
    <w:rsid w:val="00DC64C9"/>
    <w:rsid w:val="00DD2E9B"/>
    <w:rsid w:val="00DD398D"/>
    <w:rsid w:val="00DD4DB5"/>
    <w:rsid w:val="00DF14EE"/>
    <w:rsid w:val="00DF701A"/>
    <w:rsid w:val="00E000EE"/>
    <w:rsid w:val="00E04178"/>
    <w:rsid w:val="00E05798"/>
    <w:rsid w:val="00E05F39"/>
    <w:rsid w:val="00E0790B"/>
    <w:rsid w:val="00E16CF5"/>
    <w:rsid w:val="00E17191"/>
    <w:rsid w:val="00E32625"/>
    <w:rsid w:val="00E32BCB"/>
    <w:rsid w:val="00E34EEB"/>
    <w:rsid w:val="00E42CA7"/>
    <w:rsid w:val="00E442B4"/>
    <w:rsid w:val="00E522FB"/>
    <w:rsid w:val="00E67E92"/>
    <w:rsid w:val="00E71051"/>
    <w:rsid w:val="00E74E58"/>
    <w:rsid w:val="00E86395"/>
    <w:rsid w:val="00E8721C"/>
    <w:rsid w:val="00E919D9"/>
    <w:rsid w:val="00E92247"/>
    <w:rsid w:val="00E9619B"/>
    <w:rsid w:val="00E971A6"/>
    <w:rsid w:val="00EA45E7"/>
    <w:rsid w:val="00EA5108"/>
    <w:rsid w:val="00EB7D36"/>
    <w:rsid w:val="00EC1ECF"/>
    <w:rsid w:val="00ED55D9"/>
    <w:rsid w:val="00EE06C2"/>
    <w:rsid w:val="00EF0C72"/>
    <w:rsid w:val="00EF2E0E"/>
    <w:rsid w:val="00EF3764"/>
    <w:rsid w:val="00F02EC0"/>
    <w:rsid w:val="00F04D78"/>
    <w:rsid w:val="00F11119"/>
    <w:rsid w:val="00F17A54"/>
    <w:rsid w:val="00F23222"/>
    <w:rsid w:val="00F27DBD"/>
    <w:rsid w:val="00F3004A"/>
    <w:rsid w:val="00F41262"/>
    <w:rsid w:val="00F46C8C"/>
    <w:rsid w:val="00F511D9"/>
    <w:rsid w:val="00F52305"/>
    <w:rsid w:val="00F54396"/>
    <w:rsid w:val="00F70E95"/>
    <w:rsid w:val="00F92B33"/>
    <w:rsid w:val="00F95E1F"/>
    <w:rsid w:val="00F95FA0"/>
    <w:rsid w:val="00FA38BC"/>
    <w:rsid w:val="00FA6C2F"/>
    <w:rsid w:val="00FB1482"/>
    <w:rsid w:val="00FB5E86"/>
    <w:rsid w:val="00FB6E53"/>
    <w:rsid w:val="00FD6EB2"/>
    <w:rsid w:val="00FE1AB3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9414"/>
  <w15:chartTrackingRefBased/>
  <w15:docId w15:val="{18249619-6B54-6B45-A157-1C33177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A8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78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3F31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37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37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EndNoteBibliographyTitle">
    <w:name w:val="EndNote Bibliography Title"/>
    <w:basedOn w:val="Normal"/>
    <w:link w:val="EndNoteBibliographyTitleCar"/>
    <w:rsid w:val="006A660F"/>
    <w:pPr>
      <w:jc w:val="center"/>
    </w:pPr>
    <w:rPr>
      <w:lang w:val="es-ES_tradnl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6A660F"/>
    <w:rPr>
      <w:rFonts w:ascii="Times New Roman" w:eastAsia="Times New Roman" w:hAnsi="Times New Roman" w:cs="Times New Roman"/>
      <w:lang w:val="es-ES_tradnl" w:eastAsia="es-ES_tradnl"/>
    </w:rPr>
  </w:style>
  <w:style w:type="paragraph" w:customStyle="1" w:styleId="EndNoteBibliography">
    <w:name w:val="EndNote Bibliography"/>
    <w:basedOn w:val="Normal"/>
    <w:link w:val="EndNoteBibliographyCar"/>
    <w:rsid w:val="006A660F"/>
    <w:rPr>
      <w:lang w:val="es-ES_tradnl"/>
    </w:rPr>
  </w:style>
  <w:style w:type="character" w:customStyle="1" w:styleId="EndNoteBibliographyCar">
    <w:name w:val="EndNote Bibliography Car"/>
    <w:basedOn w:val="Fuentedeprrafopredeter"/>
    <w:link w:val="EndNoteBibliography"/>
    <w:rsid w:val="006A660F"/>
    <w:rPr>
      <w:rFonts w:ascii="Times New Roman" w:eastAsia="Times New Roman" w:hAnsi="Times New Roman" w:cs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A66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6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am.gob.pe/oficina-general-de-planeamiento-y-presupuesto/wp-content/uploads/sites/139/2018/01/29.09.2017-Directiva-002-II-parte-MEF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9A62F-08C8-9C4D-A81D-36FFAD3D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Montoya</dc:creator>
  <cp:keywords/>
  <dc:description/>
  <cp:lastModifiedBy>Javier Montoya</cp:lastModifiedBy>
  <cp:revision>22</cp:revision>
  <dcterms:created xsi:type="dcterms:W3CDTF">2019-06-19T11:18:00Z</dcterms:created>
  <dcterms:modified xsi:type="dcterms:W3CDTF">2019-07-26T05:05:00Z</dcterms:modified>
</cp:coreProperties>
</file>