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8F" w:rsidRDefault="00D9288F" w:rsidP="00D9288F">
      <w:pPr>
        <w:spacing w:after="0"/>
        <w:ind w:left="2127" w:right="2236"/>
        <w:rPr>
          <w:b/>
          <w:sz w:val="24"/>
          <w:szCs w:val="24"/>
        </w:rPr>
      </w:pPr>
      <w:r w:rsidRPr="005D3F5D">
        <w:rPr>
          <w:b/>
          <w:sz w:val="24"/>
          <w:szCs w:val="24"/>
        </w:rPr>
        <w:t>S2 Fig. Percent difference in other disability rate* between the Census 2011</w:t>
      </w:r>
      <w:r w:rsidRPr="005D3F5D">
        <w:rPr>
          <w:b/>
          <w:sz w:val="24"/>
          <w:szCs w:val="24"/>
          <w:vertAlign w:val="superscript"/>
        </w:rPr>
        <w:t>†</w:t>
      </w:r>
      <w:r w:rsidRPr="005D3F5D">
        <w:rPr>
          <w:b/>
          <w:sz w:val="24"/>
          <w:szCs w:val="24"/>
        </w:rPr>
        <w:t xml:space="preserve"> and household survey 2012-2013</w:t>
      </w:r>
      <w:r w:rsidRPr="005D3F5D">
        <w:rPr>
          <w:b/>
          <w:sz w:val="24"/>
          <w:szCs w:val="24"/>
          <w:vertAlign w:val="superscript"/>
        </w:rPr>
        <w:t xml:space="preserve">‡ </w:t>
      </w:r>
      <w:r w:rsidRPr="005D3F5D">
        <w:rPr>
          <w:b/>
          <w:sz w:val="24"/>
          <w:szCs w:val="24"/>
          <w:vertAlign w:val="superscript"/>
          <w:lang w:val="en-GB"/>
        </w:rPr>
        <w:t>§</w:t>
      </w:r>
      <w:r w:rsidRPr="005D3F5D">
        <w:rPr>
          <w:b/>
          <w:sz w:val="24"/>
          <w:szCs w:val="24"/>
        </w:rPr>
        <w:t xml:space="preserve"> for each Indian state.</w:t>
      </w:r>
    </w:p>
    <w:p w:rsidR="00081531" w:rsidRDefault="00081531" w:rsidP="00997BBC">
      <w:pPr>
        <w:jc w:val="center"/>
      </w:pPr>
      <w:r>
        <w:rPr>
          <w:noProof/>
          <w:lang w:val="en-US"/>
        </w:rPr>
        <w:drawing>
          <wp:inline distT="0" distB="0" distL="0" distR="0" wp14:anchorId="12011293" wp14:editId="4E323C7C">
            <wp:extent cx="6840000" cy="3960000"/>
            <wp:effectExtent l="0" t="0" r="18415" b="254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9288F" w:rsidRPr="00B2051F" w:rsidRDefault="00D9288F" w:rsidP="00D9288F">
      <w:pPr>
        <w:spacing w:after="0"/>
        <w:ind w:left="2127" w:right="2236"/>
        <w:rPr>
          <w:szCs w:val="20"/>
          <w:lang w:val="en-GB"/>
        </w:rPr>
      </w:pPr>
      <w:bookmarkStart w:id="0" w:name="_GoBack"/>
      <w:r w:rsidRPr="00B2051F">
        <w:rPr>
          <w:szCs w:val="20"/>
        </w:rPr>
        <w:t>*</w:t>
      </w:r>
      <w:r w:rsidRPr="00B2051F">
        <w:rPr>
          <w:szCs w:val="20"/>
          <w:lang w:val="en-GB"/>
        </w:rPr>
        <w:t xml:space="preserve"> A disability that is not covered under any of the categories listed in the question.</w:t>
      </w:r>
    </w:p>
    <w:p w:rsidR="00D9288F" w:rsidRPr="00B2051F" w:rsidRDefault="00D9288F" w:rsidP="00D9288F">
      <w:pPr>
        <w:spacing w:after="0"/>
        <w:ind w:left="2127" w:right="2236"/>
        <w:rPr>
          <w:szCs w:val="20"/>
        </w:rPr>
      </w:pPr>
      <w:r w:rsidRPr="00B2051F">
        <w:rPr>
          <w:szCs w:val="20"/>
          <w:vertAlign w:val="superscript"/>
        </w:rPr>
        <w:t>†</w:t>
      </w:r>
      <w:r w:rsidRPr="00B2051F">
        <w:rPr>
          <w:szCs w:val="20"/>
        </w:rPr>
        <w:t>Andhra Pradesh and Telangana were separated by the districts in the Census 2011.</w:t>
      </w:r>
    </w:p>
    <w:p w:rsidR="00D9288F" w:rsidRPr="00B2051F" w:rsidRDefault="00D9288F" w:rsidP="00D9288F">
      <w:pPr>
        <w:spacing w:after="0"/>
        <w:ind w:left="2127" w:right="2236"/>
        <w:rPr>
          <w:szCs w:val="20"/>
        </w:rPr>
      </w:pPr>
      <w:r w:rsidRPr="00B2051F">
        <w:rPr>
          <w:szCs w:val="20"/>
          <w:vertAlign w:val="superscript"/>
        </w:rPr>
        <w:t xml:space="preserve">‡ </w:t>
      </w:r>
      <w:r w:rsidRPr="00B2051F">
        <w:rPr>
          <w:szCs w:val="20"/>
        </w:rPr>
        <w:t>Includes pooled data from the District Level Household Survey-4 (2012-13) and Annual Health Survey 2</w:t>
      </w:r>
      <w:r w:rsidRPr="00B2051F">
        <w:rPr>
          <w:szCs w:val="20"/>
          <w:vertAlign w:val="superscript"/>
        </w:rPr>
        <w:t>nd</w:t>
      </w:r>
      <w:r w:rsidRPr="00B2051F">
        <w:rPr>
          <w:szCs w:val="20"/>
        </w:rPr>
        <w:t xml:space="preserve"> updation round (2012-13).</w:t>
      </w:r>
    </w:p>
    <w:p w:rsidR="00D9288F" w:rsidRPr="00B2051F" w:rsidRDefault="00D9288F" w:rsidP="00D9288F">
      <w:pPr>
        <w:spacing w:after="0"/>
        <w:ind w:left="2127" w:right="2236"/>
        <w:rPr>
          <w:szCs w:val="20"/>
        </w:rPr>
      </w:pPr>
      <w:r w:rsidRPr="00B2051F">
        <w:rPr>
          <w:szCs w:val="20"/>
          <w:vertAlign w:val="superscript"/>
          <w:lang w:val="en-GB"/>
        </w:rPr>
        <w:t xml:space="preserve">§ </w:t>
      </w:r>
      <w:r w:rsidRPr="00B2051F">
        <w:rPr>
          <w:szCs w:val="20"/>
        </w:rPr>
        <w:t>Data not shown for Delhi, Gujarat, Jammu and Kashmir, Dadra and Nagar Haveli, Daman and Dui, and Lakshadweep as it was not available in the household survey.</w:t>
      </w:r>
    </w:p>
    <w:bookmarkEnd w:id="0"/>
    <w:p w:rsidR="00C42CD9" w:rsidRDefault="00C42CD9"/>
    <w:sectPr w:rsidR="00C42CD9" w:rsidSect="00DB23EE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1"/>
    <w:rsid w:val="00081531"/>
    <w:rsid w:val="000F12DA"/>
    <w:rsid w:val="001757D1"/>
    <w:rsid w:val="00697AB8"/>
    <w:rsid w:val="008A7490"/>
    <w:rsid w:val="00997BBC"/>
    <w:rsid w:val="00AC583D"/>
    <w:rsid w:val="00C42CD9"/>
    <w:rsid w:val="00D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2BA05-5D01-491E-97F6-173D164D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53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bin.george\Desktop\PHFI-Projects\GBD-Musculoskeletal\Documents%20for%20Meeting\190313%20Illustra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657E-437A-A1D8-273593E6A358}"/>
              </c:ext>
            </c:extLst>
          </c:dPt>
          <c:dLbls>
            <c:dLbl>
              <c:idx val="3"/>
              <c:layout>
                <c:manualLayout>
                  <c:x val="-5.5701754385964908E-3"/>
                  <c:y val="-1.6035353535353594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7E-437A-A1D8-273593E6A358}"/>
                </c:ext>
              </c:extLst>
            </c:dLbl>
            <c:dLbl>
              <c:idx val="8"/>
              <c:layout>
                <c:manualLayout>
                  <c:x val="-3.7136756104354284E-3"/>
                  <c:y val="9.6215522771007055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A7-414C-B912-DFE122966EC9}"/>
                </c:ext>
              </c:extLst>
            </c:dLbl>
            <c:dLbl>
              <c:idx val="16"/>
              <c:layout>
                <c:manualLayout>
                  <c:x val="-5.570513415653143E-3"/>
                  <c:y val="6.4143681847338039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A7-414C-B912-DFE122966EC9}"/>
                </c:ext>
              </c:extLst>
            </c:dLbl>
            <c:dLbl>
              <c:idx val="27"/>
              <c:layout>
                <c:manualLayout>
                  <c:x val="-5.5701754385964908E-3"/>
                  <c:y val="-3.207070707070706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7E-437A-A1D8-273593E6A3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strRef>
              <c:f>Other!$O$1:$O$28</c:f>
              <c:strCache>
                <c:ptCount val="28"/>
                <c:pt idx="0">
                  <c:v>India</c:v>
                </c:pt>
                <c:pt idx="1">
                  <c:v>Andhra Pradesh</c:v>
                </c:pt>
                <c:pt idx="2">
                  <c:v>Arunachal Pradesh</c:v>
                </c:pt>
                <c:pt idx="3">
                  <c:v>Assam</c:v>
                </c:pt>
                <c:pt idx="4">
                  <c:v>Bihar</c:v>
                </c:pt>
                <c:pt idx="5">
                  <c:v>Chhattisgarh</c:v>
                </c:pt>
                <c:pt idx="6">
                  <c:v>Goa</c:v>
                </c:pt>
                <c:pt idx="7">
                  <c:v>Haryana</c:v>
                </c:pt>
                <c:pt idx="8">
                  <c:v>Himachal Pradesh</c:v>
                </c:pt>
                <c:pt idx="9">
                  <c:v>Jharkhand</c:v>
                </c:pt>
                <c:pt idx="10">
                  <c:v>Karnataka</c:v>
                </c:pt>
                <c:pt idx="11">
                  <c:v>Kerala</c:v>
                </c:pt>
                <c:pt idx="12">
                  <c:v>Madhya Pradesh</c:v>
                </c:pt>
                <c:pt idx="13">
                  <c:v>Maharashtra</c:v>
                </c:pt>
                <c:pt idx="14">
                  <c:v>Manipur</c:v>
                </c:pt>
                <c:pt idx="15">
                  <c:v>Meghalaya</c:v>
                </c:pt>
                <c:pt idx="16">
                  <c:v>Mizoram</c:v>
                </c:pt>
                <c:pt idx="17">
                  <c:v>Nagaland</c:v>
                </c:pt>
                <c:pt idx="18">
                  <c:v>Odisha</c:v>
                </c:pt>
                <c:pt idx="19">
                  <c:v>Punjab</c:v>
                </c:pt>
                <c:pt idx="20">
                  <c:v>Rajasthan</c:v>
                </c:pt>
                <c:pt idx="21">
                  <c:v>Sikkim</c:v>
                </c:pt>
                <c:pt idx="22">
                  <c:v>Tamil Nadu</c:v>
                </c:pt>
                <c:pt idx="23">
                  <c:v>Telangana</c:v>
                </c:pt>
                <c:pt idx="24">
                  <c:v>Tripura</c:v>
                </c:pt>
                <c:pt idx="25">
                  <c:v>Uttar Pradesh</c:v>
                </c:pt>
                <c:pt idx="26">
                  <c:v>Uttarakhand</c:v>
                </c:pt>
                <c:pt idx="27">
                  <c:v>West Bengal</c:v>
                </c:pt>
              </c:strCache>
            </c:strRef>
          </c:xVal>
          <c:yVal>
            <c:numRef>
              <c:f>Other!$P$1:$P$28</c:f>
              <c:numCache>
                <c:formatCode>0.0</c:formatCode>
                <c:ptCount val="28"/>
                <c:pt idx="0">
                  <c:v>132.95711060948082</c:v>
                </c:pt>
                <c:pt idx="1">
                  <c:v>-30.103329506314587</c:v>
                </c:pt>
                <c:pt idx="2">
                  <c:v>81.776913099870313</c:v>
                </c:pt>
                <c:pt idx="3">
                  <c:v>226.68997668997667</c:v>
                </c:pt>
                <c:pt idx="4">
                  <c:v>214.64339908952957</c:v>
                </c:pt>
                <c:pt idx="5">
                  <c:v>171.90605239385727</c:v>
                </c:pt>
                <c:pt idx="6">
                  <c:v>-45.959940046327837</c:v>
                </c:pt>
                <c:pt idx="7">
                  <c:v>50.000000000000014</c:v>
                </c:pt>
                <c:pt idx="8">
                  <c:v>-46.146987644886003</c:v>
                </c:pt>
                <c:pt idx="9">
                  <c:v>177.13588283157037</c:v>
                </c:pt>
                <c:pt idx="10">
                  <c:v>3.1944799386659852</c:v>
                </c:pt>
                <c:pt idx="11">
                  <c:v>-35.019191691126665</c:v>
                </c:pt>
                <c:pt idx="12">
                  <c:v>449.66170500676583</c:v>
                </c:pt>
                <c:pt idx="13">
                  <c:v>45.813282001924932</c:v>
                </c:pt>
                <c:pt idx="14">
                  <c:v>27.30720606826802</c:v>
                </c:pt>
                <c:pt idx="15">
                  <c:v>-69.274210416230915</c:v>
                </c:pt>
                <c:pt idx="16">
                  <c:v>-22.934158197083519</c:v>
                </c:pt>
                <c:pt idx="17">
                  <c:v>-11.026200873362448</c:v>
                </c:pt>
                <c:pt idx="18">
                  <c:v>304.21982335623159</c:v>
                </c:pt>
                <c:pt idx="19">
                  <c:v>-30.178968300386011</c:v>
                </c:pt>
                <c:pt idx="20">
                  <c:v>283.79446640316206</c:v>
                </c:pt>
                <c:pt idx="21">
                  <c:v>352.47191011235952</c:v>
                </c:pt>
                <c:pt idx="22">
                  <c:v>-77.430152332809612</c:v>
                </c:pt>
                <c:pt idx="23">
                  <c:v>-39.139123750960806</c:v>
                </c:pt>
                <c:pt idx="24">
                  <c:v>-13.999465669249275</c:v>
                </c:pt>
                <c:pt idx="25">
                  <c:v>129.2836398838335</c:v>
                </c:pt>
                <c:pt idx="26">
                  <c:v>-5.696594427244575</c:v>
                </c:pt>
                <c:pt idx="27">
                  <c:v>140.93886462882097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657E-437A-A1D8-273593E6A3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0542864"/>
        <c:axId val="580543424"/>
      </c:scatterChart>
      <c:valAx>
        <c:axId val="580542864"/>
        <c:scaling>
          <c:orientation val="minMax"/>
        </c:scaling>
        <c:delete val="0"/>
        <c:axPos val="b"/>
        <c:majorTickMark val="none"/>
        <c:minorTickMark val="none"/>
        <c:tickLblPos val="none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0543424"/>
        <c:crosses val="autoZero"/>
        <c:crossBetween val="midCat"/>
      </c:valAx>
      <c:valAx>
        <c:axId val="5805434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difference</a:t>
                </a:r>
              </a:p>
            </c:rich>
          </c:tx>
          <c:layout>
            <c:manualLayout>
              <c:xMode val="edge"/>
              <c:yMode val="edge"/>
              <c:x val="1.8567251461988305E-2"/>
              <c:y val="0.360107575757575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05428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Anamika Pandey</dc:creator>
  <cp:keywords/>
  <dc:description/>
  <cp:lastModifiedBy>Anamika Pandey</cp:lastModifiedBy>
  <cp:revision>5</cp:revision>
  <dcterms:created xsi:type="dcterms:W3CDTF">2019-03-22T08:31:00Z</dcterms:created>
  <dcterms:modified xsi:type="dcterms:W3CDTF">2019-03-22T10:42:00Z</dcterms:modified>
</cp:coreProperties>
</file>