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2543"/>
        <w:gridCol w:w="2543"/>
        <w:gridCol w:w="2543"/>
      </w:tblGrid>
      <w:tr w:rsidR="000D274F" w:rsidRPr="00D00AC9" w:rsidTr="007E1EFD">
        <w:tc>
          <w:tcPr>
            <w:tcW w:w="9209" w:type="dxa"/>
            <w:gridSpan w:val="4"/>
            <w:tcBorders>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Pr>
                <w:rFonts w:asciiTheme="minorHAnsi" w:hAnsiTheme="minorHAnsi" w:cstheme="minorHAnsi"/>
                <w:b/>
                <w:color w:val="212121"/>
                <w:shd w:val="clear" w:color="auto" w:fill="FFFFFF"/>
              </w:rPr>
              <w:t>S7 Table</w:t>
            </w:r>
            <w:bookmarkStart w:id="0" w:name="_GoBack"/>
            <w:bookmarkEnd w:id="0"/>
            <w:r w:rsidRPr="00D00AC9">
              <w:rPr>
                <w:rFonts w:asciiTheme="minorHAnsi" w:hAnsiTheme="minorHAnsi" w:cstheme="minorHAnsi"/>
                <w:b/>
                <w:color w:val="212121"/>
                <w:shd w:val="clear" w:color="auto" w:fill="FFFFFF"/>
              </w:rPr>
              <w:t xml:space="preserve">: </w:t>
            </w:r>
            <w:r w:rsidRPr="00D00AC9">
              <w:rPr>
                <w:rFonts w:asciiTheme="minorHAnsi" w:hAnsiTheme="minorHAnsi" w:cstheme="minorHAnsi"/>
                <w:color w:val="212121"/>
                <w:shd w:val="clear" w:color="auto" w:fill="FFFFFF"/>
              </w:rPr>
              <w:t>Comparison of MR features with alternative approaches</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MRI</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Elastography</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Invasive test (HVPG)</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Cost</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Medium*</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Medium*</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High</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Availability</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High</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MRI available in most hospitals</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High</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TE available in most hospitals</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Low / Medium</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Only in specialist centres</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Invasiveness</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Low</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Low</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High</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Duration of test</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0-15 minutes</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0-15 minutes</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Day case procedure</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6-8 hours including recovery time</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Expertise needed</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 xml:space="preserve">Medium </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radiographer</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Low / Medium</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Trained operator</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High</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Interventional radiologist</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Applicability</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High</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Contra-indicated in patients with pacemakers / implanted devices</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Medium / High</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Not successful in all patients (ascites, obesity)</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 xml:space="preserve">High </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Can be performed in most patients</w:t>
            </w:r>
          </w:p>
        </w:tc>
      </w:tr>
      <w:tr w:rsidR="000D274F" w:rsidRPr="00D00AC9" w:rsidTr="007E1EFD">
        <w:tc>
          <w:tcPr>
            <w:tcW w:w="1580"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b/>
                <w:color w:val="212121"/>
                <w:shd w:val="clear" w:color="auto" w:fill="FFFFFF"/>
              </w:rPr>
            </w:pPr>
            <w:r w:rsidRPr="00D00AC9">
              <w:rPr>
                <w:rFonts w:asciiTheme="minorHAnsi" w:hAnsiTheme="minorHAnsi" w:cstheme="minorHAnsi"/>
                <w:b/>
                <w:color w:val="212121"/>
                <w:shd w:val="clear" w:color="auto" w:fill="FFFFFF"/>
              </w:rPr>
              <w:t>Waiting time for test</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Variable</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Patients have to attend dedicated visit for MR scan</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Variable</w:t>
            </w:r>
          </w:p>
          <w:p w:rsidR="000D274F" w:rsidRPr="00D00AC9" w:rsidRDefault="000D274F" w:rsidP="007E1EFD">
            <w:pPr>
              <w:spacing w:line="360" w:lineRule="auto"/>
              <w:rPr>
                <w:rFonts w:asciiTheme="minorHAnsi" w:hAnsiTheme="minorHAnsi" w:cstheme="minorHAnsi"/>
                <w:i/>
                <w:color w:val="212121"/>
                <w:shd w:val="clear" w:color="auto" w:fill="FFFFFF"/>
              </w:rPr>
            </w:pPr>
            <w:r>
              <w:rPr>
                <w:rFonts w:asciiTheme="minorHAnsi" w:hAnsiTheme="minorHAnsi" w:cstheme="minorHAnsi"/>
                <w:i/>
                <w:color w:val="212121"/>
                <w:shd w:val="clear" w:color="auto" w:fill="FFFFFF"/>
              </w:rPr>
              <w:t>Usually done at the time of clinic appointment, so waiting time for test is dependent on clinic waiting list</w:t>
            </w:r>
          </w:p>
        </w:tc>
        <w:tc>
          <w:tcPr>
            <w:tcW w:w="2543" w:type="dxa"/>
            <w:tcBorders>
              <w:top w:val="single" w:sz="4" w:space="0" w:color="auto"/>
              <w:bottom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Long</w:t>
            </w:r>
          </w:p>
          <w:p w:rsidR="000D274F" w:rsidRPr="00D00AC9" w:rsidRDefault="000D274F" w:rsidP="007E1EFD">
            <w:pPr>
              <w:spacing w:line="360" w:lineRule="auto"/>
              <w:rPr>
                <w:rFonts w:asciiTheme="minorHAnsi" w:hAnsiTheme="minorHAnsi" w:cstheme="minorHAnsi"/>
                <w:i/>
                <w:color w:val="212121"/>
                <w:shd w:val="clear" w:color="auto" w:fill="FFFFFF"/>
              </w:rPr>
            </w:pPr>
            <w:r w:rsidRPr="00D00AC9">
              <w:rPr>
                <w:rFonts w:asciiTheme="minorHAnsi" w:hAnsiTheme="minorHAnsi" w:cstheme="minorHAnsi"/>
                <w:i/>
                <w:color w:val="212121"/>
                <w:shd w:val="clear" w:color="auto" w:fill="FFFFFF"/>
              </w:rPr>
              <w:t>Depends on availability of specialist</w:t>
            </w:r>
          </w:p>
        </w:tc>
      </w:tr>
      <w:tr w:rsidR="000D274F" w:rsidRPr="00D00AC9" w:rsidTr="007E1EFD">
        <w:tc>
          <w:tcPr>
            <w:tcW w:w="9209" w:type="dxa"/>
            <w:gridSpan w:val="4"/>
            <w:tcBorders>
              <w:top w:val="single" w:sz="4" w:space="0" w:color="auto"/>
            </w:tcBorders>
          </w:tcPr>
          <w:p w:rsidR="000D274F" w:rsidRPr="00D00AC9" w:rsidRDefault="000D274F" w:rsidP="007E1EFD">
            <w:pPr>
              <w:spacing w:line="360" w:lineRule="auto"/>
              <w:rPr>
                <w:rFonts w:asciiTheme="minorHAnsi" w:hAnsiTheme="minorHAnsi" w:cstheme="minorHAnsi"/>
                <w:color w:val="212121"/>
                <w:shd w:val="clear" w:color="auto" w:fill="FFFFFF"/>
              </w:rPr>
            </w:pPr>
            <w:r w:rsidRPr="00D00AC9">
              <w:rPr>
                <w:rFonts w:asciiTheme="minorHAnsi" w:hAnsiTheme="minorHAnsi" w:cstheme="minorHAnsi"/>
                <w:color w:val="212121"/>
                <w:shd w:val="clear" w:color="auto" w:fill="FFFFFF"/>
              </w:rPr>
              <w:t>*The costs will vary between countries and types of health care systems. In the context of the UK where this study was conducted, the cost of an MRI of one area without contrast is £141 and the cost of ultrasound elastography is £199 (https://improvement.nhs.uk/resources/reference-costs/#rc1718).</w:t>
            </w:r>
          </w:p>
        </w:tc>
      </w:tr>
    </w:tbl>
    <w:p w:rsidR="00ED0D08" w:rsidRDefault="00ED0D08"/>
    <w:sectPr w:rsidR="00ED0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4F"/>
    <w:rsid w:val="000D274F"/>
    <w:rsid w:val="00ED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72A9"/>
  <w15:chartTrackingRefBased/>
  <w15:docId w15:val="{E58EC2ED-05AB-4F80-8753-3CC0A6A5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74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pavlides</dc:creator>
  <cp:keywords/>
  <dc:description/>
  <cp:lastModifiedBy>michael pavlides</cp:lastModifiedBy>
  <cp:revision>1</cp:revision>
  <dcterms:created xsi:type="dcterms:W3CDTF">2019-08-01T07:06:00Z</dcterms:created>
  <dcterms:modified xsi:type="dcterms:W3CDTF">2019-08-01T07:07:00Z</dcterms:modified>
</cp:coreProperties>
</file>