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DD" w:rsidRDefault="00432049" w:rsidP="00816BDD">
      <w:pPr>
        <w:pStyle w:val="Heading1"/>
        <w:spacing w:line="480" w:lineRule="auto"/>
        <w:jc w:val="both"/>
      </w:pPr>
      <w:r>
        <w:t xml:space="preserve">Appendix: </w:t>
      </w:r>
      <w:r w:rsidR="00742625">
        <w:t>d</w:t>
      </w:r>
      <w:r w:rsidR="00816BDD">
        <w:t xml:space="preserve">ata, method, and cross-validation of estimates </w:t>
      </w:r>
    </w:p>
    <w:p w:rsidR="00816BDD" w:rsidRDefault="00816BDD" w:rsidP="0007312B">
      <w:pPr>
        <w:pStyle w:val="Heading2"/>
      </w:pPr>
      <w:r>
        <w:t>Data</w:t>
      </w:r>
    </w:p>
    <w:p w:rsidR="00816BDD" w:rsidRDefault="00816BDD" w:rsidP="00816BDD">
      <w:pPr>
        <w:spacing w:line="480" w:lineRule="auto"/>
        <w:jc w:val="both"/>
      </w:pPr>
      <w:r>
        <w:t>The survey and census data are representative at the national and urban-rural level. Table 1 lists the sample of countries by world region, alongside the survey waves and census rounds used, the cohorts covered by the data, as well as the first and last cohort fertility estimates by type of residence location. In the WFS, DHS and MICS, women have been selected for interview according to a classic stratified two-staged random sampling with replacement. The IPUMS samples contain between 5 and 10% of households randomly selected among the exhaustive population.</w:t>
      </w:r>
    </w:p>
    <w:p w:rsidR="00816BDD" w:rsidRDefault="00583678" w:rsidP="00816BDD">
      <w:pPr>
        <w:spacing w:line="480" w:lineRule="auto"/>
        <w:jc w:val="center"/>
        <w:rPr>
          <w:i/>
        </w:rPr>
      </w:pPr>
      <w:r>
        <w:rPr>
          <w:i/>
        </w:rPr>
        <w:t>S</w:t>
      </w:r>
      <w:r w:rsidR="00816BDD">
        <w:rPr>
          <w:i/>
        </w:rPr>
        <w:t>-</w:t>
      </w:r>
      <w:r w:rsidR="00816BDD" w:rsidRPr="00F525B1">
        <w:rPr>
          <w:i/>
        </w:rPr>
        <w:t>Table 1: about here</w:t>
      </w:r>
    </w:p>
    <w:p w:rsidR="00816BDD" w:rsidRDefault="00816BDD" w:rsidP="00816BDD">
      <w:pPr>
        <w:spacing w:line="480" w:lineRule="auto"/>
        <w:jc w:val="both"/>
      </w:pPr>
      <w:r>
        <w:t>Our efforts to complement the WFS and DHS data with earlier and later household surveys or censuses in countries with a limited number of fertility surveys minimized to a large extent the analytical problems related to unbalanced panels of country series. Nevertheless, we do not cover the first ten transition cohorts in ten countries (</w:t>
      </w:r>
      <w:r w:rsidR="009B76DE">
        <w:t xml:space="preserve">i.e. </w:t>
      </w:r>
      <w:r w:rsidR="009B76DE" w:rsidRPr="001658EB">
        <w:t>Cambodia, Guatemala, Guyana, Honduras, India, Mozambique, Nicaragua, Swazil</w:t>
      </w:r>
      <w:r w:rsidR="009B76DE">
        <w:t>and, Tanzania, and South Africa</w:t>
      </w:r>
      <w:r>
        <w:t>). The series are also truncated before the 30</w:t>
      </w:r>
      <w:r w:rsidRPr="00140068">
        <w:rPr>
          <w:vertAlign w:val="superscript"/>
        </w:rPr>
        <w:t>th</w:t>
      </w:r>
      <w:r>
        <w:t xml:space="preserve"> transition cohort in Haiti, Yemen and 15 sub-Saharan countries for reasons not related to the outcome under study: the fertility transition started later and is still unfolding. </w:t>
      </w:r>
    </w:p>
    <w:p w:rsidR="002229B5" w:rsidRPr="002229B5" w:rsidRDefault="002229B5" w:rsidP="002229B5">
      <w:pPr>
        <w:spacing w:line="480" w:lineRule="auto"/>
        <w:jc w:val="center"/>
        <w:rPr>
          <w:i/>
        </w:rPr>
      </w:pPr>
    </w:p>
    <w:p w:rsidR="00816BDD" w:rsidRDefault="00816BDD" w:rsidP="0007312B">
      <w:pPr>
        <w:pStyle w:val="Heading2"/>
      </w:pPr>
      <w:r>
        <w:lastRenderedPageBreak/>
        <w:t>Method</w:t>
      </w:r>
    </w:p>
    <w:p w:rsidR="00816BDD" w:rsidRDefault="00816BDD" w:rsidP="00816BDD">
      <w:pPr>
        <w:spacing w:line="480" w:lineRule="auto"/>
        <w:jc w:val="both"/>
      </w:pPr>
      <w:r>
        <w:t xml:space="preserve">To project completed PPRs of younger cohorts, the Brass-Juarez paired-cohort comparison procedure was applied </w:t>
      </w:r>
      <w:r>
        <w:fldChar w:fldCharType="begin"/>
      </w:r>
      <w:r w:rsidR="00CF74AC">
        <w:instrText xml:space="preserve"> ADDIN EN.CITE &lt;EndNote&gt;&lt;Cite&gt;&lt;Author&gt;Moultrie&lt;/Author&gt;&lt;Year&gt;2012&lt;/Year&gt;&lt;RecNum&gt;284&lt;/RecNum&gt;&lt;DisplayText&gt;[1, 2]&lt;/DisplayText&gt;&lt;record&gt;&lt;rec-number&gt;284&lt;/rec-number&gt;&lt;foreign-keys&gt;&lt;key app="EN" db-id="vtsvs0sr95tftme5przvzt9yf2fwxzwrwztr" timestamp="1461929610"&gt;284&lt;/key&gt;&lt;/foreign-keys&gt;&lt;ref-type name="Journal Article"&gt;17&lt;/ref-type&gt;&lt;contributors&gt;&lt;authors&gt;&lt;author&gt;Tom A. Moultrie&lt;/author&gt;&lt;author&gt;Sayi, Takudzwa S.&lt;/author&gt;&lt;author&gt;Timaeus, Ian M.&lt;/author&gt;&lt;/authors&gt;&lt;/contributors&gt;&lt;titles&gt;&lt;title&gt;Birth intervals, postponement, and fertility decline in Africa: A new type of transition&lt;/title&gt;&lt;secondary-title&gt;Population Studies&lt;/secondary-title&gt;&lt;/titles&gt;&lt;periodical&gt;&lt;full-title&gt;Population Studies&lt;/full-title&gt;&lt;/periodical&gt;&lt;pages&gt;241-258&lt;/pages&gt;&lt;volume&gt;66&lt;/volume&gt;&lt;number&gt;3&lt;/number&gt;&lt;dates&gt;&lt;year&gt;2012&lt;/year&gt;&lt;/dates&gt;&lt;urls&gt;&lt;/urls&gt;&lt;/record&gt;&lt;/Cite&gt;&lt;Cite&gt;&lt;Author&gt;Brass&lt;/Author&gt;&lt;Year&gt;1983&lt;/Year&gt;&lt;RecNum&gt;351&lt;/RecNum&gt;&lt;record&gt;&lt;rec-number&gt;351&lt;/rec-number&gt;&lt;foreign-keys&gt;&lt;key app="EN" db-id="vtsvs0sr95tftme5przvzt9yf2fwxzwrwztr" timestamp="1488976737"&gt;351&lt;/key&gt;&lt;/foreign-keys&gt;&lt;ref-type name="Journal Article"&gt;17&lt;/ref-type&gt;&lt;contributors&gt;&lt;authors&gt;&lt;author&gt;William Brass&lt;/author&gt;&lt;author&gt;Juarez, Fatima&lt;/author&gt;&lt;/authors&gt;&lt;/contributors&gt;&lt;titles&gt;&lt;title&gt;Censored Cohort Parity Progression Ratios from Birth Histories&lt;/title&gt;&lt;secondary-title&gt;Asian and Pacific Census Forum&lt;/secondary-title&gt;&lt;/titles&gt;&lt;periodical&gt;&lt;full-title&gt;Asian and Pacific Census Forum&lt;/full-title&gt;&lt;/periodical&gt;&lt;pages&gt;5-13&lt;/pages&gt;&lt;volume&gt;10&lt;/volume&gt;&lt;number&gt;1&lt;/number&gt;&lt;dates&gt;&lt;year&gt;1983&lt;/year&gt;&lt;/dates&gt;&lt;urls&gt;&lt;/urls&gt;&lt;/record&gt;&lt;/Cite&gt;&lt;/EndNote&gt;</w:instrText>
      </w:r>
      <w:r>
        <w:fldChar w:fldCharType="separate"/>
      </w:r>
      <w:r w:rsidR="00CF74AC">
        <w:rPr>
          <w:noProof/>
        </w:rPr>
        <w:t>[1, 2]</w:t>
      </w:r>
      <w:r>
        <w:fldChar w:fldCharType="end"/>
      </w:r>
      <w:r>
        <w:t xml:space="preserve">. The truncated </w:t>
      </w:r>
      <w:r w:rsidRPr="00BB2D58">
        <w:t>PPR</w:t>
      </w:r>
      <w:r>
        <w:t>s</w:t>
      </w:r>
      <w:r w:rsidRPr="00BB2D58">
        <w:t xml:space="preserve"> for </w:t>
      </w:r>
      <w:r>
        <w:t xml:space="preserve">the younger cohorts are projected forward in time by multiplying the completed PPR of the cohort aged 40-44 at the survey date </w:t>
      </w:r>
      <w:r w:rsidRPr="000E3275">
        <w:rPr>
          <w:i/>
        </w:rPr>
        <w:t>t</w:t>
      </w:r>
      <w:r>
        <w:t xml:space="preserve"> (</w:t>
      </w:r>
      <w:proofErr w:type="gramStart"/>
      <w:r w:rsidRPr="008C1A62">
        <w:rPr>
          <w:i/>
        </w:rPr>
        <w:t>PPR(</w:t>
      </w:r>
      <w:proofErr w:type="gramEnd"/>
      <w:r w:rsidRPr="008C1A62">
        <w:rPr>
          <w:i/>
        </w:rPr>
        <w:t>40-44, t)</w:t>
      </w:r>
      <w:r>
        <w:t xml:space="preserve"> in the Equation below) by that cohort’s fertility differential with the immediately younger cohort and by the latter cohort’s fertility differential with the subsequent cohort (second right-hand term in the Equation below). In other words, the completed PPRs are multiplied with the downward-cumulated fertility change ratios between successive pairs of adjacent cohorts. </w:t>
      </w:r>
    </w:p>
    <w:p w:rsidR="00816BDD" w:rsidRPr="0001162C" w:rsidRDefault="00816BDD" w:rsidP="00816BDD">
      <w:pPr>
        <w:spacing w:line="480" w:lineRule="auto"/>
        <w:jc w:val="both"/>
      </w:pPr>
      <m:oMathPara>
        <m:oMath>
          <m:r>
            <w:rPr>
              <w:rFonts w:ascii="Cambria Math" w:hAnsi="Cambria Math"/>
            </w:rPr>
            <m:t>PPR</m:t>
          </m:r>
          <m:d>
            <m:dPr>
              <m:ctrlPr>
                <w:rPr>
                  <w:rFonts w:ascii="Cambria Math" w:hAnsi="Cambria Math"/>
                  <w:i/>
                </w:rPr>
              </m:ctrlPr>
            </m:dPr>
            <m:e>
              <m:r>
                <w:rPr>
                  <w:rFonts w:ascii="Cambria Math" w:hAnsi="Cambria Math"/>
                </w:rPr>
                <m:t>30-34, t+10</m:t>
              </m:r>
            </m:e>
          </m:d>
          <m:r>
            <w:rPr>
              <w:rFonts w:ascii="Cambria Math" w:hAnsi="Cambria Math"/>
            </w:rPr>
            <m:t>=PPR</m:t>
          </m:r>
          <m:d>
            <m:dPr>
              <m:ctrlPr>
                <w:rPr>
                  <w:rFonts w:ascii="Cambria Math" w:hAnsi="Cambria Math"/>
                  <w:i/>
                </w:rPr>
              </m:ctrlPr>
            </m:dPr>
            <m:e>
              <m:r>
                <w:rPr>
                  <w:rFonts w:ascii="Cambria Math" w:hAnsi="Cambria Math"/>
                </w:rPr>
                <m:t>40-44,t</m:t>
              </m:r>
            </m:e>
          </m:d>
          <m:r>
            <w:rPr>
              <w:rFonts w:ascii="Cambria Math" w:hAnsi="Cambria Math"/>
            </w:rPr>
            <m:t xml:space="preserve">* </m:t>
          </m:r>
          <m:nary>
            <m:naryPr>
              <m:chr m:val="∏"/>
              <m:ctrlPr>
                <w:rPr>
                  <w:rFonts w:ascii="Cambria Math" w:hAnsi="Cambria Math"/>
                  <w:i/>
                </w:rPr>
              </m:ctrlPr>
            </m:naryPr>
            <m:sub>
              <m:r>
                <w:rPr>
                  <w:rFonts w:ascii="Cambria Math" w:hAnsi="Cambria Math"/>
                </w:rPr>
                <m:t>c=35-39</m:t>
              </m:r>
            </m:sub>
            <m:sup>
              <m:r>
                <w:rPr>
                  <w:rFonts w:ascii="Cambria Math" w:hAnsi="Cambria Math"/>
                </w:rPr>
                <m:t>40-44</m:t>
              </m:r>
            </m:sup>
            <m:e>
              <m:sSub>
                <m:sSubPr>
                  <m:ctrlPr>
                    <w:rPr>
                      <w:rFonts w:ascii="Cambria Math" w:hAnsi="Cambria Math"/>
                      <w:i/>
                    </w:rPr>
                  </m:ctrlPr>
                </m:sSubPr>
                <m:e>
                  <m:f>
                    <m:fPr>
                      <m:ctrlPr>
                        <w:rPr>
                          <w:rFonts w:ascii="Cambria Math" w:hAnsi="Cambria Math"/>
                          <w:i/>
                        </w:rPr>
                      </m:ctrlPr>
                    </m:fPr>
                    <m:num>
                      <m:r>
                        <w:rPr>
                          <w:rFonts w:ascii="Cambria Math" w:hAnsi="Cambria Math"/>
                        </w:rPr>
                        <m:t>PPR(c-5,t)</m:t>
                      </m:r>
                    </m:num>
                    <m:den>
                      <m:r>
                        <w:rPr>
                          <w:rFonts w:ascii="Cambria Math" w:hAnsi="Cambria Math"/>
                        </w:rPr>
                        <m:t>PPR(c,t-5)</m:t>
                      </m:r>
                    </m:den>
                  </m:f>
                </m:e>
                <m:sub/>
              </m:sSub>
            </m:e>
          </m:nary>
        </m:oMath>
      </m:oMathPara>
    </w:p>
    <w:p w:rsidR="00816BDD" w:rsidRDefault="00816BDD" w:rsidP="00816BDD">
      <w:pPr>
        <w:spacing w:line="480" w:lineRule="auto"/>
        <w:jc w:val="both"/>
      </w:pPr>
      <w:r>
        <w:t>The innovative idea of the Brass-Juarez method is to estimate the inter-cohort f</w:t>
      </w:r>
      <w:r w:rsidRPr="009132AF">
        <w:t xml:space="preserve">ertility change </w:t>
      </w:r>
      <w:r>
        <w:t xml:space="preserve">ratios </w:t>
      </w:r>
      <w:r w:rsidRPr="009132AF">
        <w:t>at equivalent ages and parit</w:t>
      </w:r>
      <w:r>
        <w:t>ies</w:t>
      </w:r>
      <w:r w:rsidRPr="009132AF">
        <w:t xml:space="preserve"> in order to control</w:t>
      </w:r>
      <w:r>
        <w:t xml:space="preserve"> for the truncation of the fertility career and the selection of more fertile women in higher parity groups among younger cohorts.</w:t>
      </w:r>
      <w:r w:rsidRPr="009132AF">
        <w:t xml:space="preserve"> </w:t>
      </w:r>
      <w:r>
        <w:t xml:space="preserve">For the older women in each pair of cohorts, the number of </w:t>
      </w:r>
      <w:r w:rsidRPr="009132AF">
        <w:t xml:space="preserve">births </w:t>
      </w:r>
      <w:r>
        <w:t xml:space="preserve">that occurred in the five-year period immediately preceding the survey (as </w:t>
      </w:r>
      <w:r w:rsidRPr="009132AF">
        <w:t>reported in the birth histories</w:t>
      </w:r>
      <w:r>
        <w:t xml:space="preserve">) are </w:t>
      </w:r>
      <w:r w:rsidRPr="009132AF">
        <w:t>subtract</w:t>
      </w:r>
      <w:r>
        <w:t>ed</w:t>
      </w:r>
      <w:r w:rsidRPr="009132AF">
        <w:t xml:space="preserve"> </w:t>
      </w:r>
      <w:r>
        <w:t xml:space="preserve">from the stated parity at the survey date </w:t>
      </w:r>
      <w:r w:rsidRPr="00086E7B">
        <w:rPr>
          <w:i/>
        </w:rPr>
        <w:t>t</w:t>
      </w:r>
      <w:r>
        <w:t>. Thus, the older cohort’s</w:t>
      </w:r>
      <w:r w:rsidRPr="009132AF">
        <w:t xml:space="preserve"> PPR </w:t>
      </w:r>
      <w:r>
        <w:t>as of five years before the survey (</w:t>
      </w:r>
      <w:r w:rsidRPr="00DD6E08">
        <w:rPr>
          <w:i/>
        </w:rPr>
        <w:t>PP</w:t>
      </w:r>
      <w:r>
        <w:rPr>
          <w:i/>
        </w:rPr>
        <w:t>R(c</w:t>
      </w:r>
      <w:r w:rsidRPr="00DD6E08">
        <w:rPr>
          <w:i/>
        </w:rPr>
        <w:t>, t-5)</w:t>
      </w:r>
      <w:r>
        <w:t xml:space="preserve">) is truncated and affected by selection to the same extend as the </w:t>
      </w:r>
      <w:r w:rsidRPr="009132AF">
        <w:t xml:space="preserve">younger cohort’s </w:t>
      </w:r>
      <w:r>
        <w:t>PPR at the time of the survey (</w:t>
      </w:r>
      <w:r>
        <w:rPr>
          <w:i/>
        </w:rPr>
        <w:t>PPR(c</w:t>
      </w:r>
      <w:r w:rsidRPr="00DD6E08">
        <w:rPr>
          <w:i/>
        </w:rPr>
        <w:t>-5, t)</w:t>
      </w:r>
      <w:r>
        <w:t>)</w:t>
      </w:r>
      <w:r w:rsidRPr="009132AF">
        <w:t>.</w:t>
      </w:r>
      <w:r>
        <w:t xml:space="preserve"> </w:t>
      </w:r>
    </w:p>
    <w:p w:rsidR="00816BDD" w:rsidRDefault="00816BDD" w:rsidP="00816BDD">
      <w:pPr>
        <w:spacing w:line="480" w:lineRule="auto"/>
        <w:jc w:val="both"/>
      </w:pPr>
      <w:r>
        <w:t xml:space="preserve">The level of TF is then </w:t>
      </w:r>
      <w:r w:rsidRPr="009132AF">
        <w:t>estimated as a weighted average of the parit</w:t>
      </w:r>
      <w:r>
        <w:t xml:space="preserve">ies attained, with the weights </w:t>
      </w:r>
      <w:r w:rsidRPr="009132AF">
        <w:t>being the parity distribution of women as implied by the chain</w:t>
      </w:r>
      <w:r>
        <w:t>ing of the</w:t>
      </w:r>
      <w:r w:rsidRPr="009132AF">
        <w:t xml:space="preserve"> </w:t>
      </w:r>
      <w:r>
        <w:t xml:space="preserve">progression ratios </w:t>
      </w:r>
      <w:r w:rsidRPr="009132AF">
        <w:t>from nu</w:t>
      </w:r>
      <w:r>
        <w:t>lli</w:t>
      </w:r>
      <w:r w:rsidRPr="009132AF">
        <w:t>par</w:t>
      </w:r>
      <w:r>
        <w:t>o</w:t>
      </w:r>
      <w:r w:rsidRPr="009132AF">
        <w:t xml:space="preserve">us to </w:t>
      </w:r>
      <w:r>
        <w:t>the first birth (</w:t>
      </w:r>
      <w:r w:rsidRPr="00365B8A">
        <w:rPr>
          <w:i/>
        </w:rPr>
        <w:t>PPR0-&gt;1</w:t>
      </w:r>
      <w:r w:rsidRPr="009132AF">
        <w:t xml:space="preserve">) </w:t>
      </w:r>
      <w:r>
        <w:t>through</w:t>
      </w:r>
      <w:r w:rsidRPr="009132AF">
        <w:t xml:space="preserve"> </w:t>
      </w:r>
      <w:r>
        <w:t xml:space="preserve">the ratio of progression from </w:t>
      </w:r>
      <w:r w:rsidRPr="009132AF">
        <w:t>the fifth to the sixth</w:t>
      </w:r>
      <w:r>
        <w:t xml:space="preserve"> birth (</w:t>
      </w:r>
      <w:r w:rsidRPr="00365B8A">
        <w:rPr>
          <w:i/>
        </w:rPr>
        <w:t>PPR5-&gt;6</w:t>
      </w:r>
      <w:r w:rsidRPr="009132AF">
        <w:t>)</w:t>
      </w:r>
      <w:r>
        <w:t>:</w:t>
      </w:r>
      <w:r w:rsidRPr="009132AF">
        <w:t xml:space="preserve"> </w:t>
      </w:r>
    </w:p>
    <w:p w:rsidR="00816BDD" w:rsidRPr="00083049" w:rsidRDefault="00816BDD" w:rsidP="00816BDD">
      <w:pPr>
        <w:spacing w:line="480" w:lineRule="auto"/>
        <w:jc w:val="both"/>
        <w:rPr>
          <w:lang w:val="fr-FR"/>
        </w:rPr>
      </w:pPr>
      <m:oMathPara>
        <m:oMath>
          <m:r>
            <w:rPr>
              <w:rFonts w:ascii="Cambria Math" w:hAnsi="Cambria Math"/>
            </w:rPr>
            <w:lastRenderedPageBreak/>
            <m:t>TCF=</m:t>
          </m:r>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r>
                    <w:rPr>
                      <w:rFonts w:ascii="Cambria Math" w:hAnsi="Cambria Math"/>
                    </w:rPr>
                    <m:t>i*</m:t>
                  </m:r>
                  <m:sSub>
                    <m:sSubPr>
                      <m:ctrlPr>
                        <w:rPr>
                          <w:rFonts w:ascii="Cambria Math" w:hAnsi="Cambria Math"/>
                          <w:i/>
                        </w:rPr>
                      </m:ctrlPr>
                    </m:sSubPr>
                    <m:e>
                      <m:r>
                        <w:rPr>
                          <w:rFonts w:ascii="Cambria Math" w:hAnsi="Cambria Math"/>
                        </w:rPr>
                        <m:t>PPR</m:t>
                      </m:r>
                    </m:e>
                    <m:sub>
                      <m:r>
                        <w:rPr>
                          <w:rFonts w:ascii="Cambria Math" w:hAnsi="Cambria Math"/>
                        </w:rPr>
                        <m:t>0→1</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PPR</m:t>
                          </m:r>
                        </m:e>
                        <m:sub>
                          <m:r>
                            <w:rPr>
                              <w:rFonts w:ascii="Cambria Math" w:hAnsi="Cambria Math"/>
                            </w:rPr>
                            <m:t>i→i+1</m:t>
                          </m:r>
                        </m:sub>
                      </m:sSub>
                    </m:e>
                  </m:d>
                </m:e>
              </m:nary>
            </m:e>
          </m:d>
          <m:r>
            <w:rPr>
              <w:rFonts w:ascii="Cambria Math" w:hAnsi="Cambria Math"/>
            </w:rPr>
            <m:t>+avCEBP6*</m:t>
          </m:r>
          <m:sSub>
            <m:sSubPr>
              <m:ctrlPr>
                <w:rPr>
                  <w:rFonts w:ascii="Cambria Math" w:hAnsi="Cambria Math"/>
                  <w:i/>
                </w:rPr>
              </m:ctrlPr>
            </m:sSubPr>
            <m:e>
              <m:r>
                <w:rPr>
                  <w:rFonts w:ascii="Cambria Math" w:hAnsi="Cambria Math"/>
                </w:rPr>
                <m:t>PPR</m:t>
              </m:r>
            </m:e>
            <m:sub>
              <m:r>
                <w:rPr>
                  <w:rFonts w:ascii="Cambria Math" w:hAnsi="Cambria Math"/>
                </w:rPr>
                <m:t>0→1</m:t>
              </m:r>
            </m:sub>
          </m:sSub>
          <m:r>
            <w:rPr>
              <w:rFonts w:ascii="Cambria Math" w:hAnsi="Cambria Math"/>
            </w:rPr>
            <m:t xml:space="preserve">*…* </m:t>
          </m:r>
          <m:sSub>
            <m:sSubPr>
              <m:ctrlPr>
                <w:rPr>
                  <w:rFonts w:ascii="Cambria Math" w:hAnsi="Cambria Math"/>
                  <w:i/>
                </w:rPr>
              </m:ctrlPr>
            </m:sSubPr>
            <m:e>
              <m:r>
                <w:rPr>
                  <w:rFonts w:ascii="Cambria Math" w:hAnsi="Cambria Math"/>
                </w:rPr>
                <m:t>PPR</m:t>
              </m:r>
            </m:e>
            <m:sub>
              <m:r>
                <w:rPr>
                  <w:rFonts w:ascii="Cambria Math" w:hAnsi="Cambria Math"/>
                </w:rPr>
                <m:t>5→6</m:t>
              </m:r>
            </m:sub>
          </m:sSub>
        </m:oMath>
      </m:oMathPara>
    </w:p>
    <w:p w:rsidR="00816BDD" w:rsidRDefault="00816BDD" w:rsidP="00816BDD">
      <w:pPr>
        <w:spacing w:line="480" w:lineRule="auto"/>
        <w:jc w:val="both"/>
      </w:pPr>
      <w:r>
        <w:t>F</w:t>
      </w:r>
      <w:r w:rsidRPr="009132AF">
        <w:t>or the last parity group</w:t>
      </w:r>
      <w:r>
        <w:t xml:space="preserve"> (women with at least six births)</w:t>
      </w:r>
      <w:r w:rsidRPr="009132AF">
        <w:t xml:space="preserve">, </w:t>
      </w:r>
      <w:r>
        <w:t xml:space="preserve">the attained parity was </w:t>
      </w:r>
      <w:r w:rsidRPr="009132AF">
        <w:t xml:space="preserve">estimated </w:t>
      </w:r>
      <w:r>
        <w:t xml:space="preserve">as </w:t>
      </w:r>
      <w:r w:rsidRPr="009132AF">
        <w:t xml:space="preserve">the average number of children ever born </w:t>
      </w:r>
      <w:r>
        <w:t xml:space="preserve">to this group </w:t>
      </w:r>
      <w:r w:rsidRPr="009132AF">
        <w:t>at the survey date</w:t>
      </w:r>
      <w:r>
        <w:t>s (</w:t>
      </w:r>
      <w:r w:rsidRPr="005F0C13">
        <w:rPr>
          <w:i/>
        </w:rPr>
        <w:t>avCEBP6</w:t>
      </w:r>
      <w:r>
        <w:t>); inter-survey figures are linearly interpolated, the estimates before the first survey are extrapolated, and the series have been smoothed</w:t>
      </w:r>
      <w:r w:rsidRPr="009132AF">
        <w:t>.</w:t>
      </w:r>
    </w:p>
    <w:p w:rsidR="00816BDD" w:rsidRDefault="00816BDD" w:rsidP="0007312B">
      <w:pPr>
        <w:pStyle w:val="Heading2"/>
      </w:pPr>
      <w:r>
        <w:t>Cross-validating the estimates</w:t>
      </w:r>
    </w:p>
    <w:p w:rsidR="00816BDD" w:rsidRDefault="00816BDD" w:rsidP="00816BDD">
      <w:pPr>
        <w:spacing w:line="480" w:lineRule="auto"/>
        <w:jc w:val="both"/>
      </w:pPr>
      <w:r>
        <w:t xml:space="preserve">The information about the number of children ever born may be biased due to the older interviewee’s omission or incomplete recalling of births, as well as sample selection biases related to past mortality and migration </w:t>
      </w:r>
      <w:r>
        <w:fldChar w:fldCharType="begin"/>
      </w:r>
      <w:r w:rsidR="00CF74AC">
        <w:instrText xml:space="preserve"> ADDIN EN.CITE &lt;EndNote&gt;&lt;Cite&gt;&lt;Author&gt;Moultrie&lt;/Author&gt;&lt;Year&gt;2013&lt;/Year&gt;&lt;RecNum&gt;38&lt;/RecNum&gt;&lt;DisplayText&gt;[3, 4]&lt;/DisplayText&gt;&lt;record&gt;&lt;rec-number&gt;38&lt;/rec-number&gt;&lt;foreign-keys&gt;&lt;key app="EN" db-id="r59e5razdwtstnezvtgxffw20w22w9ddrfzx" timestamp="1436540790"&gt;38&lt;/key&gt;&lt;/foreign-keys&gt;&lt;ref-type name="Book"&gt;6&lt;/ref-type&gt;&lt;contributors&gt;&lt;authors&gt;&lt;author&gt;Tom A. Moultrie&lt;/author&gt;&lt;author&gt;Dorrington, Rob,&lt;/author&gt;&lt;author&gt;Hill, Allan,&lt;/author&gt;&lt;author&gt;Hill, Kenneth,&lt;/author&gt;&lt;author&gt;Timaeus, Ian,&lt;/author&gt;&lt;author&gt;Zaba, Basia&lt;/author&gt;&lt;/authors&gt;&lt;/contributors&gt;&lt;titles&gt;&lt;title&gt;Tools for Demographic Estimation&lt;/title&gt;&lt;/titles&gt;&lt;dates&gt;&lt;year&gt;2013&lt;/year&gt;&lt;/dates&gt;&lt;pub-location&gt;Paris&lt;/pub-location&gt;&lt;publisher&gt;International Union for the Scientific Study of Population (IUSSP)&lt;/publisher&gt;&lt;urls&gt;&lt;/urls&gt;&lt;/record&gt;&lt;/Cite&gt;&lt;Cite&gt;&lt;Author&gt;United Nations&lt;/Author&gt;&lt;Year&gt;1983&lt;/Year&gt;&lt;RecNum&gt;2&lt;/RecNum&gt;&lt;record&gt;&lt;rec-number&gt;2&lt;/rec-number&gt;&lt;foreign-keys&gt;&lt;key app="EN" db-id="r59e5razdwtstnezvtgxffw20w22w9ddrfzx" timestamp="1269354152"&gt;2&lt;/key&gt;&lt;/foreign-keys&gt;&lt;ref-type name="Book"&gt;6&lt;/ref-type&gt;&lt;contributors&gt;&lt;authors&gt;&lt;author&gt;United Nations,&lt;/author&gt;&lt;/authors&gt;&lt;secondary-authors&gt;&lt;author&gt;Department of International Economic and Social Affairs&lt;/author&gt;&lt;/secondary-authors&gt;&lt;/contributors&gt;&lt;titles&gt;&lt;title&gt;Manual X: Indirect Techniques for Demographic Estimation&lt;/title&gt;&lt;secondary-title&gt;Population Studies&lt;/secondary-title&gt;&lt;/titles&gt;&lt;periodical&gt;&lt;full-title&gt;Population Studies&lt;/full-title&gt;&lt;/periodical&gt;&lt;volume&gt;81&lt;/volume&gt;&lt;dates&gt;&lt;year&gt;1983&lt;/year&gt;&lt;/dates&gt;&lt;pub-location&gt;New York&lt;/pub-location&gt;&lt;publisher&gt;United Nations&lt;/publisher&gt;&lt;urls&gt;&lt;/urls&gt;&lt;/record&gt;&lt;/Cite&gt;&lt;/EndNote&gt;</w:instrText>
      </w:r>
      <w:r>
        <w:fldChar w:fldCharType="separate"/>
      </w:r>
      <w:r w:rsidR="00CF74AC">
        <w:rPr>
          <w:noProof/>
        </w:rPr>
        <w:t>[3, 4]</w:t>
      </w:r>
      <w:r>
        <w:fldChar w:fldCharType="end"/>
      </w:r>
      <w:r>
        <w:t xml:space="preserve">. We performed two quality tests of our estimations series. The first is an internal plausibility test based only on the survey/census-samples. To assess the quality of the reporting of women’s parity, on the one hand, and the accuracy of our projections for younger cohorts, on the other hand, we cross-validated the observed and projected values of completed PPRs for overlapping cohorts as obtained respectively from two successive surveys. According to this internal plausibility test of our data, we found a higher agreement between observed and projected PPRs in rural areas and at lower parities, which can be explained by larger samples of women. </w:t>
      </w:r>
      <w:r w:rsidR="009B76DE">
        <w:t>S-</w:t>
      </w:r>
      <w:r>
        <w:t xml:space="preserve">Figure </w:t>
      </w:r>
      <w:r w:rsidR="009B76DE">
        <w:t>1</w:t>
      </w:r>
      <w:r>
        <w:t xml:space="preserve"> shows the most problematic crude series of observed and projected progression ratios as obtained from successive surveys: the transition to the sixth birth (PPR6) in urban areas. Countries are purposively selected to illustrate the range of data quality. On each individual blue line, the last two points designate projected values, whereas prior points represent estimates. The averaged and smoothed trend is also plotted in red.</w:t>
      </w:r>
    </w:p>
    <w:p w:rsidR="00816BDD" w:rsidRPr="00ED2E8C" w:rsidRDefault="009B76DE" w:rsidP="00816BDD">
      <w:pPr>
        <w:spacing w:line="480" w:lineRule="auto"/>
        <w:jc w:val="center"/>
        <w:rPr>
          <w:i/>
        </w:rPr>
      </w:pPr>
      <w:r>
        <w:rPr>
          <w:i/>
        </w:rPr>
        <w:t>S</w:t>
      </w:r>
      <w:r w:rsidR="00816BDD" w:rsidRPr="00ED2E8C">
        <w:rPr>
          <w:i/>
        </w:rPr>
        <w:t>-Figure 1: about here</w:t>
      </w:r>
    </w:p>
    <w:p w:rsidR="00816BDD" w:rsidRDefault="00816BDD" w:rsidP="00816BDD">
      <w:pPr>
        <w:spacing w:line="480" w:lineRule="auto"/>
        <w:jc w:val="both"/>
      </w:pPr>
      <w:r w:rsidRPr="00ED2E8C">
        <w:lastRenderedPageBreak/>
        <w:t xml:space="preserve">In urban Bangladesh, the Philippines, Indonesia and Peru, the series almost perfectly overlap. Yet recent projection points from the penultimate surveys tend to be higher when compared with figures based on both the preceding and following surveys. This may have arisen because of different sample compositions. The examples of urban Togo, Vietnam and Kenya illustrate the worst cases in terms of the disagreement between estimated and projected PPRs. In Vietnam, the projections based on the penultimate survey are lower when compared with the estimates from the last survey. Younger birth cohorts may have shortened birth intervals (relative to older cohorts) at younger ages, but were not more likely to progress to the sixth birth (as assumed by the chaining of the inter-cohort fertility change ratios in the Brass-Juarez method). In urban Togo, the projected PPR6 from the first survey are significantly lower when compared to the estimated value based on the second survey. </w:t>
      </w:r>
      <w:proofErr w:type="gramStart"/>
      <w:r w:rsidRPr="00ED2E8C">
        <w:t>This points</w:t>
      </w:r>
      <w:proofErr w:type="gramEnd"/>
      <w:r w:rsidRPr="00ED2E8C">
        <w:t xml:space="preserve"> to a sample selection bias of more fertile women at the second survey. In urban Kenya, several biases may interact to produce the most erratic pattern observed in our sample of countries. Sample biases may be particularly important. In the 1998 DHS, for example, interviewers had no access to the households located within the slums which were protected by paramilitary groups (personal communication by Ph. Bocquier).</w:t>
      </w:r>
    </w:p>
    <w:p w:rsidR="00816BDD" w:rsidRDefault="00816BDD" w:rsidP="00816BDD">
      <w:pPr>
        <w:spacing w:line="480" w:lineRule="auto"/>
        <w:jc w:val="both"/>
      </w:pPr>
      <w:r>
        <w:t xml:space="preserve">The estimates and projections of completed PPRs are generally the least congruent in the poorest countries within each world region. In these cases, not only the parity data may be of poorer quality, but also the forecast accuracy may be lower because of the underreporting of recent births in the birth history </w:t>
      </w:r>
      <w:r>
        <w:fldChar w:fldCharType="begin"/>
      </w:r>
      <w:r w:rsidR="00CF74AC">
        <w:instrText xml:space="preserve"> ADDIN EN.CITE &lt;EndNote&gt;&lt;Cite&gt;&lt;Author&gt;Schoumaker&lt;/Author&gt;&lt;Year&gt;2014&lt;/Year&gt;&lt;RecNum&gt;39&lt;/RecNum&gt;&lt;DisplayText&gt;[5]&lt;/DisplayText&gt;&lt;record&gt;&lt;rec-number&gt;39&lt;/rec-number&gt;&lt;foreign-keys&gt;&lt;key app="EN" db-id="r59e5razdwtstnezvtgxffw20w22w9ddrfzx" timestamp="1436540949"&gt;39&lt;/key&gt;&lt;/foreign-keys&gt;&lt;ref-type name="Journal Article"&gt;17&lt;/ref-type&gt;&lt;contributors&gt;&lt;authors&gt;&lt;author&gt;Bruno Schoumaker&lt;/author&gt;&lt;/authors&gt;&lt;/contributors&gt;&lt;titles&gt;&lt;title&gt;Quality and Consistency of DHS Fertility Estimates, 1990 to 2012&lt;/title&gt;&lt;secondary-title&gt;DHS Methodological Reports&lt;/secondary-title&gt;&lt;/titles&gt;&lt;periodical&gt;&lt;full-title&gt;DHS Methodological Reports&lt;/full-title&gt;&lt;/periodical&gt;&lt;pages&gt;122&lt;/pages&gt;&lt;volume&gt;12&lt;/volume&gt;&lt;dates&gt;&lt;year&gt;2014&lt;/year&gt;&lt;/dates&gt;&lt;urls&gt;&lt;/urls&gt;&lt;/record&gt;&lt;/Cite&gt;&lt;/EndNote&gt;</w:instrText>
      </w:r>
      <w:r>
        <w:fldChar w:fldCharType="separate"/>
      </w:r>
      <w:r w:rsidR="00CF74AC">
        <w:rPr>
          <w:noProof/>
        </w:rPr>
        <w:t>[5]</w:t>
      </w:r>
      <w:r>
        <w:fldChar w:fldCharType="end"/>
      </w:r>
      <w:r>
        <w:t xml:space="preserve">. This leads to a miss-estimation of the inter-cohort fertility change ratios (used to project forward the truncated PPRs). Alternatively, the survey samples may not well represent the population due to sampling, migration and mortality-related selection biases. Changes in the urban classification between two surveys may also confound the comparison. </w:t>
      </w:r>
    </w:p>
    <w:p w:rsidR="00816BDD" w:rsidRDefault="00816BDD" w:rsidP="00816BDD">
      <w:pPr>
        <w:spacing w:line="480" w:lineRule="auto"/>
        <w:jc w:val="both"/>
      </w:pPr>
      <w:r>
        <w:lastRenderedPageBreak/>
        <w:t xml:space="preserve">Overall, however, we can conclude that the quality of our series of completed PPRs is good. We thus smoothed the trend by, first, averaging data points for overlapping cohorts, linearly interpolating estimates and, then, applying a </w:t>
      </w:r>
      <w:r w:rsidRPr="00340F10">
        <w:t>running line function (</w:t>
      </w:r>
      <w:r>
        <w:t xml:space="preserve">using the </w:t>
      </w:r>
      <w:r w:rsidRPr="00340F10">
        <w:t>locally weighted least squares technique</w:t>
      </w:r>
      <w:r>
        <w:t>; see thick lines in A-Fig. 1). Survey weights are applied. We chained these smoothed PPRs to estimate the parity distribution of cohorts, which constitutes the weights to estimate the total cohort fertility (TF).</w:t>
      </w:r>
    </w:p>
    <w:p w:rsidR="00816BDD" w:rsidRDefault="00816BDD" w:rsidP="00816BDD">
      <w:pPr>
        <w:spacing w:line="480" w:lineRule="auto"/>
        <w:jc w:val="both"/>
      </w:pPr>
      <w:r>
        <w:t xml:space="preserve">As a second external plausibility test, we estimated national-level total cohort fertility based on the PPRs (which are primarily based on parity data) and compared the trends with two external estimates: the United Nations’ period TFR series which have been back-translated by the average age at childbearing to get a cohort indicator, and </w:t>
      </w:r>
      <w:proofErr w:type="spellStart"/>
      <w:r>
        <w:t>Sneeringer’s</w:t>
      </w:r>
      <w:proofErr w:type="spellEnd"/>
      <w:r>
        <w:t xml:space="preserve"> </w:t>
      </w:r>
      <w:r>
        <w:fldChar w:fldCharType="begin"/>
      </w:r>
      <w:r w:rsidR="00CF74AC">
        <w:instrText xml:space="preserve"> ADDIN EN.CITE &lt;EndNote&gt;&lt;Cite ExcludeAuth="1"&gt;&lt;Author&gt;Sneeringer&lt;/Author&gt;&lt;Year&gt;2009&lt;/Year&gt;&lt;RecNum&gt;314&lt;/RecNum&gt;&lt;DisplayText&gt;[6]&lt;/DisplayText&gt;&lt;record&gt;&lt;rec-number&gt;314&lt;/rec-number&gt;&lt;foreign-keys&gt;&lt;key app="EN" db-id="vtsvs0sr95tftme5przvzt9yf2fwxzwrwztr" timestamp="1471529525"&gt;314&lt;/key&gt;&lt;/foreign-keys&gt;&lt;ref-type name="Report"&gt;27&lt;/ref-type&gt;&lt;contributors&gt;&lt;authors&gt;&lt;author&gt;Stacy E. Sneeringer&lt;/author&gt;&lt;/authors&gt;&lt;tertiary-authors&gt;&lt;author&gt;ICF Macro&lt;/author&gt;&lt;/tertiary-authors&gt;&lt;/contributors&gt;&lt;titles&gt;&lt;title&gt;Fertility Transition in Sub-Saharan Africa: A Comparative Analysis of Cohort Trends in 30 Countries&lt;/title&gt;&lt;secondary-title&gt;DHS Comparative Reports&lt;/secondary-title&gt;&lt;/titles&gt;&lt;periodical&gt;&lt;full-title&gt;DHS Comparative Reports&lt;/full-title&gt;&lt;/periodical&gt;&lt;pages&gt;23&lt;/pages&gt;&lt;number&gt;23&lt;/number&gt;&lt;dates&gt;&lt;year&gt;2009&lt;/year&gt;&lt;/dates&gt;&lt;pub-location&gt;Calverton, Maryland, USA&lt;/pub-location&gt;&lt;publisher&gt;ICF Macro&lt;/publisher&gt;&lt;urls&gt;&lt;/urls&gt;&lt;/record&gt;&lt;/Cite&gt;&lt;/EndNote&gt;</w:instrText>
      </w:r>
      <w:r>
        <w:fldChar w:fldCharType="separate"/>
      </w:r>
      <w:r w:rsidR="00CF74AC">
        <w:rPr>
          <w:noProof/>
        </w:rPr>
        <w:t>[6]</w:t>
      </w:r>
      <w:r>
        <w:fldChar w:fldCharType="end"/>
      </w:r>
      <w:r>
        <w:t xml:space="preserve"> estimates of the total cohort fertility rates (CTFR; i.e. the sum of age-specific rates) based on the pooled birth histories from successive DHS in Africa. As shown in </w:t>
      </w:r>
      <w:r w:rsidR="009B76DE">
        <w:t>S</w:t>
      </w:r>
      <w:r>
        <w:t>-</w:t>
      </w:r>
      <w:r w:rsidRPr="00C66B16">
        <w:t>Fig</w:t>
      </w:r>
      <w:bookmarkStart w:id="0" w:name="_GoBack"/>
      <w:bookmarkEnd w:id="0"/>
      <w:r w:rsidRPr="00C66B16">
        <w:t xml:space="preserve"> </w:t>
      </w:r>
      <w:r>
        <w:t>2, our estimates fit the two other series</w:t>
      </w:r>
      <w:r w:rsidRPr="00AD7D76">
        <w:t xml:space="preserve"> </w:t>
      </w:r>
      <w:r>
        <w:t xml:space="preserve">well – even in countries where only ever-married women have been interviewed (such as in Bangladesh, Egypt, Indonesia, and Morocco). The levels of cohort fertility diverge in Yemen and Haiti, but the trends are congruent. For some African countries, however, our parity-based estimates tend to indicate an earlier fertility decline when compared to the UN series. The CTFR based on the birth histories is situated either between our parity-based and the UN estimates, or are closer to our figures. In Chad, Burkina Faso, and Niger, however, we tend to under-estimate fertility among the most recent cohorts. </w:t>
      </w:r>
    </w:p>
    <w:p w:rsidR="00816BDD" w:rsidRDefault="00816BDD" w:rsidP="00816BDD">
      <w:pPr>
        <w:spacing w:line="480" w:lineRule="auto"/>
        <w:jc w:val="both"/>
      </w:pPr>
      <w:r>
        <w:t xml:space="preserve">Rural cohort fertility trends over the course of the national fertility transitions are given in </w:t>
      </w:r>
      <w:r w:rsidR="009B76DE">
        <w:t>S</w:t>
      </w:r>
      <w:r>
        <w:t>-Fig 3 for comparison purposes with Fig. 2 in the main body of this manuscript.</w:t>
      </w:r>
    </w:p>
    <w:p w:rsidR="00816BDD" w:rsidRPr="00B75573" w:rsidRDefault="009B76DE" w:rsidP="00816BDD">
      <w:pPr>
        <w:spacing w:line="480" w:lineRule="auto"/>
        <w:jc w:val="center"/>
        <w:rPr>
          <w:i/>
        </w:rPr>
      </w:pPr>
      <w:r>
        <w:rPr>
          <w:i/>
        </w:rPr>
        <w:t>S</w:t>
      </w:r>
      <w:r w:rsidR="00816BDD">
        <w:rPr>
          <w:i/>
        </w:rPr>
        <w:t>-</w:t>
      </w:r>
      <w:r w:rsidR="00816BDD" w:rsidRPr="00B75573">
        <w:rPr>
          <w:i/>
        </w:rPr>
        <w:t xml:space="preserve">Figure </w:t>
      </w:r>
      <w:r w:rsidR="00816BDD">
        <w:rPr>
          <w:i/>
        </w:rPr>
        <w:t>3</w:t>
      </w:r>
      <w:r w:rsidR="00816BDD" w:rsidRPr="00B75573">
        <w:rPr>
          <w:i/>
        </w:rPr>
        <w:t>: about here</w:t>
      </w:r>
    </w:p>
    <w:p w:rsidR="00816BDD" w:rsidRDefault="00816BDD" w:rsidP="0007312B">
      <w:pPr>
        <w:pStyle w:val="Heading2"/>
      </w:pPr>
      <w:r>
        <w:lastRenderedPageBreak/>
        <w:t>Identification of migrants between urban and rural areas</w:t>
      </w:r>
    </w:p>
    <w:p w:rsidR="00816BDD" w:rsidRDefault="00816BDD" w:rsidP="00816BDD">
      <w:pPr>
        <w:spacing w:line="480" w:lineRule="auto"/>
        <w:jc w:val="both"/>
      </w:pPr>
      <w:r>
        <w:t xml:space="preserve">To identify this population migrants, we relied upon the information about the urban/rural status of the childhood place of residence (sometimes defined until age 12) as reported in the WFS and some DHS, and about the status of the previous place of residence (alongside the date of the last move) which is available in several DHS (see Appendix). </w:t>
      </w:r>
      <w:proofErr w:type="gramStart"/>
      <w:r>
        <w:t>Although t</w:t>
      </w:r>
      <w:r w:rsidRPr="00FA1611">
        <w:t>his information is self-reported and</w:t>
      </w:r>
      <w:r>
        <w:t>, therefore,</w:t>
      </w:r>
      <w:r w:rsidRPr="00FA1611">
        <w:t xml:space="preserve"> </w:t>
      </w:r>
      <w:r>
        <w:t xml:space="preserve">susceptible to be </w:t>
      </w:r>
      <w:r w:rsidRPr="00FA1611">
        <w:t>biase</w:t>
      </w:r>
      <w:r>
        <w:t xml:space="preserve">d, it </w:t>
      </w:r>
      <w:r w:rsidRPr="00FA1611">
        <w:t>reflects women’s perception of the environment of socialization, which is relevant for analyzing the diffusion of cohort fertility change.</w:t>
      </w:r>
      <w:proofErr w:type="gramEnd"/>
      <w:r>
        <w:t xml:space="preserve"> We assumed that women moved only once (at most) since childhood and harmonized the information with that provided in the WFS by identifying (non-)migrant women who did (not) move across urban/rural borders after age 15</w:t>
      </w:r>
      <w:r w:rsidRPr="00A54881">
        <w:t>. The percentage of migrant</w:t>
      </w:r>
      <w:r>
        <w:t>s</w:t>
      </w:r>
      <w:r w:rsidRPr="00A54881">
        <w:t xml:space="preserve"> was 22% of the interviewed women aged 30 or more in the average country, with a first percentile of 10% and a ninth percentile of 34%.</w:t>
      </w:r>
      <w:r>
        <w:br w:type="page"/>
      </w:r>
    </w:p>
    <w:p w:rsidR="00816BDD" w:rsidRDefault="00816BDD" w:rsidP="00816BDD">
      <w:pPr>
        <w:rPr>
          <w:b/>
          <w:u w:val="single"/>
        </w:rPr>
        <w:sectPr w:rsidR="00816BDD" w:rsidSect="00F525B1">
          <w:pgSz w:w="12240" w:h="15840"/>
          <w:pgMar w:top="1440" w:right="1440" w:bottom="1440" w:left="1440" w:header="720" w:footer="720" w:gutter="0"/>
          <w:cols w:space="720"/>
          <w:docGrid w:linePitch="360"/>
        </w:sectPr>
      </w:pPr>
    </w:p>
    <w:p w:rsidR="00816BDD" w:rsidRDefault="00816BDD" w:rsidP="00CF74AC">
      <w:pPr>
        <w:pStyle w:val="Heading2"/>
      </w:pPr>
      <w:r>
        <w:lastRenderedPageBreak/>
        <w:t>Appendix Tables and Figures</w:t>
      </w:r>
    </w:p>
    <w:p w:rsidR="00816BDD" w:rsidRDefault="00816BDD" w:rsidP="00816BDD">
      <w:pPr>
        <w:jc w:val="center"/>
      </w:pPr>
    </w:p>
    <w:p w:rsidR="00816BDD" w:rsidRDefault="00816BDD" w:rsidP="00816BDD">
      <w:pPr>
        <w:tabs>
          <w:tab w:val="left" w:pos="4949"/>
        </w:tabs>
      </w:pPr>
      <w:r>
        <w:tab/>
      </w:r>
    </w:p>
    <w:p w:rsidR="00816BDD" w:rsidRDefault="00816BDD" w:rsidP="00816BDD"/>
    <w:p w:rsidR="00816BDD" w:rsidRPr="00E90440" w:rsidRDefault="00816BDD" w:rsidP="00816BDD">
      <w:pPr>
        <w:sectPr w:rsidR="00816BDD" w:rsidRPr="00E90440" w:rsidSect="00E90440">
          <w:pgSz w:w="12240" w:h="15840"/>
          <w:pgMar w:top="720" w:right="720" w:bottom="720" w:left="720" w:header="720" w:footer="720" w:gutter="0"/>
          <w:cols w:space="720"/>
          <w:docGrid w:linePitch="360"/>
        </w:sectPr>
      </w:pPr>
    </w:p>
    <w:p w:rsidR="00816BDD" w:rsidRDefault="007806C5" w:rsidP="00816BDD">
      <w:pPr>
        <w:jc w:val="both"/>
        <w:rPr>
          <w:i/>
        </w:rPr>
      </w:pPr>
      <w:r>
        <w:rPr>
          <w:i/>
        </w:rPr>
        <w:lastRenderedPageBreak/>
        <w:t>S</w:t>
      </w:r>
      <w:r w:rsidR="00816BDD">
        <w:rPr>
          <w:i/>
        </w:rPr>
        <w:t>-</w:t>
      </w:r>
      <w:r w:rsidR="00816BDD" w:rsidRPr="00E3340E">
        <w:rPr>
          <w:i/>
        </w:rPr>
        <w:t xml:space="preserve">Table </w:t>
      </w:r>
      <w:r w:rsidR="00816BDD">
        <w:rPr>
          <w:i/>
        </w:rPr>
        <w:t>1</w:t>
      </w:r>
      <w:r w:rsidR="00816BDD" w:rsidRPr="00E3340E">
        <w:rPr>
          <w:i/>
        </w:rPr>
        <w:t xml:space="preserve">: Country-specific levels of urbanization, number and dates of fertility surveys, and urban and rural estimates of cohort fertility in </w:t>
      </w:r>
      <w:r w:rsidR="00816BDD">
        <w:rPr>
          <w:i/>
        </w:rPr>
        <w:t xml:space="preserve">60 </w:t>
      </w:r>
      <w:r w:rsidR="00816BDD" w:rsidRPr="00E3340E">
        <w:rPr>
          <w:i/>
        </w:rPr>
        <w:t>Africa</w:t>
      </w:r>
      <w:r w:rsidR="00816BDD">
        <w:rPr>
          <w:i/>
        </w:rPr>
        <w:t>n</w:t>
      </w:r>
      <w:r w:rsidR="00816BDD" w:rsidRPr="00E3340E">
        <w:rPr>
          <w:i/>
        </w:rPr>
        <w:t>, Asia</w:t>
      </w:r>
      <w:r w:rsidR="00816BDD">
        <w:rPr>
          <w:i/>
        </w:rPr>
        <w:t>n</w:t>
      </w:r>
      <w:r w:rsidR="00816BDD" w:rsidRPr="00E3340E">
        <w:rPr>
          <w:i/>
        </w:rPr>
        <w:t xml:space="preserve"> and Latin America</w:t>
      </w:r>
      <w:r w:rsidR="00816BDD">
        <w:rPr>
          <w:i/>
        </w:rPr>
        <w:t>n countries</w:t>
      </w:r>
      <w:r w:rsidR="00816BDD" w:rsidRPr="00E3340E">
        <w:rPr>
          <w:i/>
        </w:rPr>
        <w:t xml:space="preserve">. </w:t>
      </w:r>
    </w:p>
    <w:tbl>
      <w:tblPr>
        <w:tblW w:w="12920" w:type="dxa"/>
        <w:tblInd w:w="93" w:type="dxa"/>
        <w:tblLook w:val="04A0" w:firstRow="1" w:lastRow="0" w:firstColumn="1" w:lastColumn="0" w:noHBand="0" w:noVBand="1"/>
      </w:tblPr>
      <w:tblGrid>
        <w:gridCol w:w="650"/>
        <w:gridCol w:w="496"/>
        <w:gridCol w:w="1190"/>
        <w:gridCol w:w="541"/>
        <w:gridCol w:w="541"/>
        <w:gridCol w:w="541"/>
        <w:gridCol w:w="541"/>
        <w:gridCol w:w="541"/>
        <w:gridCol w:w="541"/>
        <w:gridCol w:w="541"/>
        <w:gridCol w:w="541"/>
        <w:gridCol w:w="541"/>
        <w:gridCol w:w="541"/>
        <w:gridCol w:w="541"/>
        <w:gridCol w:w="541"/>
        <w:gridCol w:w="541"/>
        <w:gridCol w:w="541"/>
        <w:gridCol w:w="592"/>
        <w:gridCol w:w="419"/>
        <w:gridCol w:w="592"/>
        <w:gridCol w:w="419"/>
        <w:gridCol w:w="592"/>
        <w:gridCol w:w="419"/>
        <w:gridCol w:w="592"/>
        <w:gridCol w:w="419"/>
      </w:tblGrid>
      <w:tr w:rsidR="00816BDD" w:rsidRPr="00E859AF" w:rsidTr="006274AC">
        <w:trPr>
          <w:trHeight w:val="300"/>
        </w:trPr>
        <w:tc>
          <w:tcPr>
            <w:tcW w:w="580" w:type="dxa"/>
            <w:tcBorders>
              <w:top w:val="single" w:sz="4" w:space="0" w:color="auto"/>
              <w:left w:val="single" w:sz="4" w:space="0" w:color="auto"/>
              <w:bottom w:val="nil"/>
              <w:right w:val="single" w:sz="4" w:space="0" w:color="auto"/>
            </w:tcBorders>
            <w:shd w:val="clear" w:color="auto" w:fill="auto"/>
            <w:noWrap/>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1540" w:type="dxa"/>
            <w:gridSpan w:val="2"/>
            <w:tcBorders>
              <w:top w:val="single" w:sz="4" w:space="0" w:color="auto"/>
              <w:left w:val="nil"/>
              <w:bottom w:val="nil"/>
              <w:right w:val="single" w:sz="4" w:space="0" w:color="000000"/>
            </w:tcBorders>
            <w:shd w:val="clear" w:color="auto" w:fill="auto"/>
            <w:noWrap/>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Country</w:t>
            </w:r>
          </w:p>
        </w:tc>
        <w:tc>
          <w:tcPr>
            <w:tcW w:w="880" w:type="dxa"/>
            <w:gridSpan w:val="2"/>
            <w:tcBorders>
              <w:top w:val="single" w:sz="4" w:space="0" w:color="auto"/>
              <w:left w:val="nil"/>
              <w:bottom w:val="single" w:sz="4" w:space="0" w:color="auto"/>
              <w:right w:val="nil"/>
            </w:tcBorders>
            <w:shd w:val="clear" w:color="auto" w:fill="auto"/>
            <w:noWrap/>
            <w:hideMark/>
          </w:tcPr>
          <w:p w:rsidR="00816BDD" w:rsidRPr="00E859AF" w:rsidRDefault="00816BDD" w:rsidP="006274AC">
            <w:pPr>
              <w:spacing w:after="0" w:line="240" w:lineRule="auto"/>
              <w:jc w:val="center"/>
              <w:rPr>
                <w:rFonts w:ascii="Calibri" w:eastAsia="Times New Roman" w:hAnsi="Calibri" w:cs="Times New Roman"/>
                <w:sz w:val="16"/>
                <w:szCs w:val="16"/>
              </w:rPr>
            </w:pPr>
            <w:r w:rsidRPr="00E859AF">
              <w:rPr>
                <w:rFonts w:ascii="Calibri" w:eastAsia="Times New Roman" w:hAnsi="Calibri" w:cs="Times New Roman"/>
                <w:sz w:val="16"/>
                <w:szCs w:val="16"/>
              </w:rPr>
              <w:t>% urban</w:t>
            </w:r>
          </w:p>
        </w:tc>
        <w:tc>
          <w:tcPr>
            <w:tcW w:w="6000" w:type="dxa"/>
            <w:gridSpan w:val="12"/>
            <w:tcBorders>
              <w:top w:val="single" w:sz="4" w:space="0" w:color="auto"/>
              <w:left w:val="single" w:sz="4" w:space="0" w:color="auto"/>
              <w:bottom w:val="single" w:sz="4" w:space="0" w:color="auto"/>
              <w:right w:val="single" w:sz="4" w:space="0" w:color="000000"/>
            </w:tcBorders>
            <w:shd w:val="clear" w:color="auto" w:fill="auto"/>
            <w:noWrap/>
            <w:hideMark/>
          </w:tcPr>
          <w:p w:rsidR="00816BDD" w:rsidRPr="00E859AF" w:rsidRDefault="00816BDD" w:rsidP="006274AC">
            <w:pPr>
              <w:spacing w:after="0" w:line="240" w:lineRule="auto"/>
              <w:jc w:val="center"/>
              <w:rPr>
                <w:rFonts w:ascii="Calibri" w:eastAsia="Times New Roman" w:hAnsi="Calibri" w:cs="Times New Roman"/>
                <w:sz w:val="16"/>
                <w:szCs w:val="16"/>
              </w:rPr>
            </w:pPr>
            <w:r w:rsidRPr="00E859AF">
              <w:rPr>
                <w:rFonts w:ascii="Calibri" w:eastAsia="Times New Roman" w:hAnsi="Calibri" w:cs="Times New Roman"/>
                <w:sz w:val="16"/>
                <w:szCs w:val="16"/>
              </w:rPr>
              <w:t>Survey (census) years</w:t>
            </w:r>
          </w:p>
        </w:tc>
        <w:tc>
          <w:tcPr>
            <w:tcW w:w="1960" w:type="dxa"/>
            <w:gridSpan w:val="4"/>
            <w:tcBorders>
              <w:top w:val="single" w:sz="4" w:space="0" w:color="auto"/>
              <w:left w:val="nil"/>
              <w:bottom w:val="single" w:sz="4" w:space="0" w:color="auto"/>
              <w:right w:val="single" w:sz="4" w:space="0" w:color="000000"/>
            </w:tcBorders>
            <w:shd w:val="clear" w:color="auto" w:fill="auto"/>
            <w:noWrap/>
            <w:hideMark/>
          </w:tcPr>
          <w:p w:rsidR="00816BDD" w:rsidRPr="00E859AF" w:rsidRDefault="00816BDD" w:rsidP="006274AC">
            <w:pPr>
              <w:spacing w:after="0" w:line="240" w:lineRule="auto"/>
              <w:jc w:val="center"/>
              <w:rPr>
                <w:rFonts w:ascii="Calibri" w:eastAsia="Times New Roman" w:hAnsi="Calibri" w:cs="Times New Roman"/>
                <w:sz w:val="16"/>
                <w:szCs w:val="16"/>
              </w:rPr>
            </w:pPr>
            <w:r w:rsidRPr="00E859AF">
              <w:rPr>
                <w:rFonts w:ascii="Calibri" w:eastAsia="Times New Roman" w:hAnsi="Calibri" w:cs="Times New Roman"/>
                <w:sz w:val="16"/>
                <w:szCs w:val="16"/>
              </w:rPr>
              <w:t>Obs. cohorts urban</w:t>
            </w:r>
          </w:p>
        </w:tc>
        <w:tc>
          <w:tcPr>
            <w:tcW w:w="1960" w:type="dxa"/>
            <w:gridSpan w:val="4"/>
            <w:tcBorders>
              <w:top w:val="single" w:sz="4" w:space="0" w:color="auto"/>
              <w:left w:val="nil"/>
              <w:bottom w:val="single" w:sz="4" w:space="0" w:color="auto"/>
              <w:right w:val="single" w:sz="4" w:space="0" w:color="000000"/>
            </w:tcBorders>
            <w:shd w:val="clear" w:color="auto" w:fill="auto"/>
            <w:noWrap/>
            <w:hideMark/>
          </w:tcPr>
          <w:p w:rsidR="00816BDD" w:rsidRPr="00E859AF" w:rsidRDefault="00816BDD" w:rsidP="006274AC">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Obs. c</w:t>
            </w:r>
            <w:r w:rsidRPr="00E859AF">
              <w:rPr>
                <w:rFonts w:ascii="Calibri" w:eastAsia="Times New Roman" w:hAnsi="Calibri" w:cs="Times New Roman"/>
                <w:sz w:val="16"/>
                <w:szCs w:val="16"/>
              </w:rPr>
              <w:t>ohorts rural</w:t>
            </w:r>
          </w:p>
        </w:tc>
      </w:tr>
      <w:tr w:rsidR="00816BDD" w:rsidRPr="00E859AF" w:rsidTr="006274AC">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1540" w:type="dxa"/>
            <w:gridSpan w:val="2"/>
            <w:tcBorders>
              <w:top w:val="nil"/>
              <w:left w:val="nil"/>
              <w:bottom w:val="single" w:sz="4" w:space="0" w:color="auto"/>
              <w:right w:val="single" w:sz="4" w:space="0" w:color="000000"/>
            </w:tcBorders>
            <w:shd w:val="clear" w:color="auto" w:fill="auto"/>
            <w:noWrap/>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(abbr. &amp; name)</w:t>
            </w:r>
          </w:p>
        </w:tc>
        <w:tc>
          <w:tcPr>
            <w:tcW w:w="44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1950</w:t>
            </w:r>
          </w:p>
        </w:tc>
        <w:tc>
          <w:tcPr>
            <w:tcW w:w="44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1st</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2nd</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3rd</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4th</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5th</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6th</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7th</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8th</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9th</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10th</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11th</w:t>
            </w:r>
          </w:p>
        </w:tc>
        <w:tc>
          <w:tcPr>
            <w:tcW w:w="500"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12th</w:t>
            </w:r>
          </w:p>
        </w:tc>
        <w:tc>
          <w:tcPr>
            <w:tcW w:w="592" w:type="dxa"/>
            <w:tcBorders>
              <w:top w:val="nil"/>
              <w:left w:val="nil"/>
              <w:bottom w:val="single" w:sz="4" w:space="0" w:color="auto"/>
              <w:right w:val="nil"/>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First</w:t>
            </w:r>
          </w:p>
        </w:tc>
        <w:tc>
          <w:tcPr>
            <w:tcW w:w="388" w:type="dxa"/>
            <w:tcBorders>
              <w:top w:val="nil"/>
              <w:left w:val="nil"/>
              <w:bottom w:val="single" w:sz="4" w:space="0" w:color="auto"/>
              <w:right w:val="nil"/>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TF</w:t>
            </w:r>
          </w:p>
        </w:tc>
        <w:tc>
          <w:tcPr>
            <w:tcW w:w="592" w:type="dxa"/>
            <w:tcBorders>
              <w:top w:val="nil"/>
              <w:left w:val="nil"/>
              <w:bottom w:val="single" w:sz="4" w:space="0" w:color="auto"/>
              <w:right w:val="nil"/>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Last</w:t>
            </w:r>
          </w:p>
        </w:tc>
        <w:tc>
          <w:tcPr>
            <w:tcW w:w="388"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TF</w:t>
            </w:r>
          </w:p>
        </w:tc>
        <w:tc>
          <w:tcPr>
            <w:tcW w:w="592" w:type="dxa"/>
            <w:tcBorders>
              <w:top w:val="nil"/>
              <w:left w:val="nil"/>
              <w:bottom w:val="single" w:sz="4" w:space="0" w:color="auto"/>
              <w:right w:val="nil"/>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First</w:t>
            </w:r>
          </w:p>
        </w:tc>
        <w:tc>
          <w:tcPr>
            <w:tcW w:w="388" w:type="dxa"/>
            <w:tcBorders>
              <w:top w:val="nil"/>
              <w:left w:val="nil"/>
              <w:bottom w:val="single" w:sz="4" w:space="0" w:color="auto"/>
              <w:right w:val="nil"/>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TF</w:t>
            </w:r>
          </w:p>
        </w:tc>
        <w:tc>
          <w:tcPr>
            <w:tcW w:w="592" w:type="dxa"/>
            <w:tcBorders>
              <w:top w:val="nil"/>
              <w:left w:val="nil"/>
              <w:bottom w:val="single" w:sz="4" w:space="0" w:color="auto"/>
              <w:right w:val="nil"/>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Last</w:t>
            </w:r>
          </w:p>
        </w:tc>
        <w:tc>
          <w:tcPr>
            <w:tcW w:w="388" w:type="dxa"/>
            <w:tcBorders>
              <w:top w:val="nil"/>
              <w:left w:val="nil"/>
              <w:bottom w:val="single" w:sz="4" w:space="0" w:color="auto"/>
              <w:right w:val="single" w:sz="4" w:space="0" w:color="auto"/>
            </w:tcBorders>
            <w:shd w:val="clear" w:color="auto" w:fill="auto"/>
            <w:noWrap/>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TF</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ASIA</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BD</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Bangladesh</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KH</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Cambodia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10</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2.8</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IA</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India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17</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3.6</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ID</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Indonesia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12</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2.6</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NP</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Nepal</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PK</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Pakistan</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18</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4.7</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PH</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Philippines</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27</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3.1</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LK</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Sri Lanka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15</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5.5</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1953</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1953</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3.3</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TH</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Thailand</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16</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1906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1906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2.5</w:t>
            </w:r>
          </w:p>
        </w:tc>
      </w:tr>
      <w:tr w:rsidR="00816BDD" w:rsidRPr="00E859AF" w:rsidTr="006274AC">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VN</w:t>
            </w:r>
          </w:p>
        </w:tc>
        <w:tc>
          <w:tcPr>
            <w:tcW w:w="119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Viet Nam</w:t>
            </w:r>
          </w:p>
        </w:tc>
        <w:tc>
          <w:tcPr>
            <w:tcW w:w="44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12</w:t>
            </w:r>
          </w:p>
        </w:tc>
        <w:tc>
          <w:tcPr>
            <w:tcW w:w="44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24</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1989</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1997</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2002</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2009</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1940</w:t>
            </w:r>
          </w:p>
        </w:tc>
        <w:tc>
          <w:tcPr>
            <w:tcW w:w="388"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4.3</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1940</w:t>
            </w:r>
          </w:p>
        </w:tc>
        <w:tc>
          <w:tcPr>
            <w:tcW w:w="388"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5.5</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2.3</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roofErr w:type="spellStart"/>
            <w:r w:rsidRPr="00E859AF">
              <w:rPr>
                <w:rFonts w:ascii="Calibri" w:eastAsia="Times New Roman" w:hAnsi="Calibri" w:cs="Times New Roman"/>
                <w:sz w:val="16"/>
                <w:szCs w:val="16"/>
              </w:rPr>
              <w:t>LACarr</w:t>
            </w:r>
            <w:proofErr w:type="spellEnd"/>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BO</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Bolivia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34</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1912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1974</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1912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1974</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4.6</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BR</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Brazil</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36</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1906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1906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6.5</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3.4</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CO</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Colombia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33</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1975</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1975</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3.0</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DR</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Dominican Rep.</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24</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EC</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Ecuador</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28</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1930</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1930</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3.5</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GU</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Guatemala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25</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3.7</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GY</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Guyana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28</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1975</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1975</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3.1</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HT</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Haiti</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12</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4.0</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HN</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Honduras</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18</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2.5</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3.5</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MX</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Mexico</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43</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1966</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1966</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3.9</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NC</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Nicaragua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35</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1967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1967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4.6</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PA</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Panama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36</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1906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1896</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1976</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4.0</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PY</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Paraguay</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35</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1962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1898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1968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3.5</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1898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1968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4.2</w:t>
            </w:r>
          </w:p>
        </w:tc>
      </w:tr>
      <w:tr w:rsidR="00816BDD" w:rsidRPr="00E859AF" w:rsidTr="006274AC">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PE</w:t>
            </w:r>
          </w:p>
        </w:tc>
        <w:tc>
          <w:tcPr>
            <w:tcW w:w="119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Peru</w:t>
            </w:r>
          </w:p>
        </w:tc>
        <w:tc>
          <w:tcPr>
            <w:tcW w:w="44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41</w:t>
            </w:r>
          </w:p>
        </w:tc>
        <w:tc>
          <w:tcPr>
            <w:tcW w:w="44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73</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1986</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1991</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1996</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2004</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2007</w:t>
            </w:r>
          </w:p>
        </w:tc>
        <w:tc>
          <w:tcPr>
            <w:tcW w:w="1000" w:type="dxa"/>
            <w:gridSpan w:val="2"/>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2009-2012</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1928</w:t>
            </w:r>
          </w:p>
        </w:tc>
        <w:tc>
          <w:tcPr>
            <w:tcW w:w="388"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6.6</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2.2</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1928</w:t>
            </w:r>
          </w:p>
        </w:tc>
        <w:tc>
          <w:tcPr>
            <w:tcW w:w="388"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7.5</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3.4</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MENA</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EG</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Egypt</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3.6</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JO</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Jordan</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37</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9.0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4.0</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MA</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Morocco</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26</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1969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1969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3.3</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TN</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Tunisia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r>
      <w:tr w:rsidR="00816BDD" w:rsidRPr="00E859AF" w:rsidTr="006274AC">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YE</w:t>
            </w:r>
          </w:p>
        </w:tc>
        <w:tc>
          <w:tcPr>
            <w:tcW w:w="119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Yemen</w:t>
            </w:r>
          </w:p>
        </w:tc>
        <w:tc>
          <w:tcPr>
            <w:tcW w:w="44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w:t>
            </w:r>
          </w:p>
        </w:tc>
        <w:tc>
          <w:tcPr>
            <w:tcW w:w="44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26</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1991</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2013</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1942</w:t>
            </w:r>
          </w:p>
        </w:tc>
        <w:tc>
          <w:tcPr>
            <w:tcW w:w="388"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8.1</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4.3</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1942</w:t>
            </w:r>
          </w:p>
        </w:tc>
        <w:tc>
          <w:tcPr>
            <w:tcW w:w="388"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7.9</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5.4</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SSA</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BJ</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Benin</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5.6</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BF</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Burkina Faso</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6.2</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BU</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Burundi</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5.9</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CM</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Cameroon</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9</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6.4</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TD</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Chad</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7.4</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CI</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Côte d'Ivoire</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10</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3.5</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5.2</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ET</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Ethiopia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5.9</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GA</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Gabon</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11</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1951</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5.6</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GH</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Ghana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15</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1930</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1930</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5.0</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lastRenderedPageBreak/>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GN</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Guinea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1950</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1950</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5.9</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KE</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Kenya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6.5</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4.3</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LS</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Lesotho</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3.3</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LB</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Liberia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13</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5.5</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MD</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Madagascar</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1982</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1982</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4.2</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MW</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Malawi</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4.7</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ML</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Mali</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7.5</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MR</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Mauritania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6.4</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MZ</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Mozambique</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5.6</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5.8</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NM</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Namibia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13</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4.2</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NI</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Niger</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7.2</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RW</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Rwanda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1948</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3.8</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SN</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Senegal</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17</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2015</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5.7</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SL</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Sierra Leone</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13</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5.2</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5.3</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ZA</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South Africa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42</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1977</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2.9</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SD</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Sudan</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1974</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4.5</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1929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1974</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5.5</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SZ</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Swaziland</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1972</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3.0</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1957</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5.9</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1972</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4.3</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TG</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Togo</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5.2</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UG</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Uganda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1988</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2000</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1944</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4.3</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1939</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1980</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6.5</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TZ</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Tanzania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2004</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2009</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6.5</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3.4</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1942</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5.6</w:t>
            </w:r>
          </w:p>
        </w:tc>
      </w:tr>
      <w:tr w:rsidR="00816BDD" w:rsidRPr="00E859AF" w:rsidTr="006274AC">
        <w:trPr>
          <w:trHeight w:val="240"/>
        </w:trPr>
        <w:tc>
          <w:tcPr>
            <w:tcW w:w="580" w:type="dxa"/>
            <w:tcBorders>
              <w:top w:val="nil"/>
              <w:left w:val="single" w:sz="4" w:space="0" w:color="auto"/>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ZM</w:t>
            </w:r>
          </w:p>
        </w:tc>
        <w:tc>
          <w:tcPr>
            <w:tcW w:w="119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Zambia</w:t>
            </w:r>
          </w:p>
        </w:tc>
        <w:tc>
          <w:tcPr>
            <w:tcW w:w="44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12</w:t>
            </w:r>
          </w:p>
        </w:tc>
        <w:tc>
          <w:tcPr>
            <w:tcW w:w="44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35</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1992</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1996</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2001</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2007</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2013</w:t>
            </w: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p>
        </w:tc>
        <w:tc>
          <w:tcPr>
            <w:tcW w:w="500"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7.7</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3.8</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1943</w:t>
            </w:r>
          </w:p>
        </w:tc>
        <w:tc>
          <w:tcPr>
            <w:tcW w:w="388"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8.1</w:t>
            </w:r>
          </w:p>
        </w:tc>
        <w:tc>
          <w:tcPr>
            <w:tcW w:w="592" w:type="dxa"/>
            <w:tcBorders>
              <w:top w:val="nil"/>
              <w:left w:val="nil"/>
              <w:bottom w:val="nil"/>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1979</w:t>
            </w:r>
          </w:p>
        </w:tc>
        <w:tc>
          <w:tcPr>
            <w:tcW w:w="388" w:type="dxa"/>
            <w:tcBorders>
              <w:top w:val="nil"/>
              <w:left w:val="nil"/>
              <w:bottom w:val="nil"/>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6.1</w:t>
            </w:r>
          </w:p>
        </w:tc>
      </w:tr>
      <w:tr w:rsidR="00816BDD" w:rsidRPr="00E859AF" w:rsidTr="006274AC">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35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ZW</w:t>
            </w:r>
          </w:p>
        </w:tc>
        <w:tc>
          <w:tcPr>
            <w:tcW w:w="119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Zimbabwe</w:t>
            </w:r>
          </w:p>
        </w:tc>
        <w:tc>
          <w:tcPr>
            <w:tcW w:w="44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11</w:t>
            </w:r>
          </w:p>
        </w:tc>
        <w:tc>
          <w:tcPr>
            <w:tcW w:w="44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34</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1988</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1994</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1999</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2005</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2010</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2015</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rPr>
                <w:rFonts w:ascii="Calibri" w:eastAsia="Times New Roman" w:hAnsi="Calibri" w:cs="Times New Roman"/>
                <w:sz w:val="16"/>
                <w:szCs w:val="16"/>
              </w:rPr>
            </w:pPr>
            <w:r w:rsidRPr="00E859AF">
              <w:rPr>
                <w:rFonts w:ascii="Calibri" w:eastAsia="Times New Roman" w:hAnsi="Calibri" w:cs="Times New Roman"/>
                <w:sz w:val="16"/>
                <w:szCs w:val="16"/>
              </w:rPr>
              <w:t> </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1939</w:t>
            </w:r>
          </w:p>
        </w:tc>
        <w:tc>
          <w:tcPr>
            <w:tcW w:w="388"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5.2</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3.2</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1939</w:t>
            </w:r>
          </w:p>
        </w:tc>
        <w:tc>
          <w:tcPr>
            <w:tcW w:w="388"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7.4</w:t>
            </w:r>
          </w:p>
        </w:tc>
        <w:tc>
          <w:tcPr>
            <w:tcW w:w="592" w:type="dxa"/>
            <w:tcBorders>
              <w:top w:val="nil"/>
              <w:left w:val="nil"/>
              <w:bottom w:val="single" w:sz="4" w:space="0" w:color="auto"/>
              <w:right w:val="nil"/>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1981</w:t>
            </w:r>
          </w:p>
        </w:tc>
        <w:tc>
          <w:tcPr>
            <w:tcW w:w="388" w:type="dxa"/>
            <w:tcBorders>
              <w:top w:val="nil"/>
              <w:left w:val="nil"/>
              <w:bottom w:val="single" w:sz="4" w:space="0" w:color="auto"/>
              <w:right w:val="single" w:sz="4" w:space="0" w:color="auto"/>
            </w:tcBorders>
            <w:shd w:val="clear" w:color="auto" w:fill="auto"/>
            <w:noWrap/>
            <w:vAlign w:val="bottom"/>
            <w:hideMark/>
          </w:tcPr>
          <w:p w:rsidR="00816BDD" w:rsidRPr="00E859AF" w:rsidRDefault="00816BDD" w:rsidP="006274AC">
            <w:pPr>
              <w:spacing w:after="0" w:line="240" w:lineRule="auto"/>
              <w:jc w:val="right"/>
              <w:rPr>
                <w:rFonts w:ascii="Calibri" w:eastAsia="Times New Roman" w:hAnsi="Calibri" w:cs="Times New Roman"/>
                <w:sz w:val="16"/>
                <w:szCs w:val="16"/>
              </w:rPr>
            </w:pPr>
            <w:r w:rsidRPr="00E859AF">
              <w:rPr>
                <w:rFonts w:ascii="Calibri" w:eastAsia="Times New Roman" w:hAnsi="Calibri" w:cs="Times New Roman"/>
                <w:sz w:val="16"/>
                <w:szCs w:val="16"/>
              </w:rPr>
              <w:t>4.7</w:t>
            </w:r>
          </w:p>
        </w:tc>
      </w:tr>
    </w:tbl>
    <w:p w:rsidR="00816BDD" w:rsidRPr="000204F1" w:rsidRDefault="00816BDD" w:rsidP="00816BDD">
      <w:pPr>
        <w:jc w:val="both"/>
        <w:rPr>
          <w:lang w:val="fr-FR"/>
        </w:rPr>
      </w:pPr>
      <w:r w:rsidRPr="000204F1">
        <w:rPr>
          <w:lang w:val="fr-FR"/>
        </w:rPr>
        <w:t>Sources: WHS &amp; DHS, MICS, IPUMS, UN 2015.</w:t>
      </w:r>
    </w:p>
    <w:p w:rsidR="00816BDD" w:rsidRPr="007A76E3" w:rsidRDefault="00816BDD" w:rsidP="00816BDD">
      <w:pPr>
        <w:keepNext/>
        <w:keepLines/>
        <w:jc w:val="both"/>
        <w:rPr>
          <w:i/>
        </w:rPr>
      </w:pPr>
      <w:r w:rsidRPr="007A76E3">
        <w:rPr>
          <w:i/>
        </w:rPr>
        <w:t xml:space="preserve">Notes: </w:t>
      </w:r>
      <w:proofErr w:type="spellStart"/>
      <w:r w:rsidRPr="007A76E3">
        <w:rPr>
          <w:i/>
        </w:rPr>
        <w:t>LACarr</w:t>
      </w:r>
      <w:proofErr w:type="spellEnd"/>
      <w:r w:rsidRPr="007A76E3">
        <w:rPr>
          <w:i/>
        </w:rPr>
        <w:t xml:space="preserve"> = Latin America and the Caribbean, MENA = Middle East and Northern Africa, SSA = sub-Sahara Africa.</w:t>
      </w:r>
    </w:p>
    <w:p w:rsidR="00816BDD" w:rsidRDefault="00816BDD" w:rsidP="00816BDD">
      <w:pPr>
        <w:jc w:val="both"/>
        <w:rPr>
          <w:i/>
        </w:rPr>
        <w:sectPr w:rsidR="00816BDD" w:rsidSect="00F349B5">
          <w:pgSz w:w="15840" w:h="12240" w:orient="landscape"/>
          <w:pgMar w:top="720" w:right="720" w:bottom="720" w:left="720" w:header="720" w:footer="720" w:gutter="0"/>
          <w:cols w:space="720"/>
          <w:docGrid w:linePitch="360"/>
        </w:sectPr>
      </w:pPr>
    </w:p>
    <w:p w:rsidR="00816BDD" w:rsidRPr="00121B22" w:rsidRDefault="007806C5" w:rsidP="00816BDD">
      <w:pPr>
        <w:keepNext/>
        <w:keepLines/>
        <w:jc w:val="both"/>
        <w:rPr>
          <w:i/>
        </w:rPr>
      </w:pPr>
      <w:r>
        <w:rPr>
          <w:i/>
        </w:rPr>
        <w:lastRenderedPageBreak/>
        <w:t>S</w:t>
      </w:r>
      <w:r w:rsidR="00816BDD">
        <w:rPr>
          <w:i/>
        </w:rPr>
        <w:t>-</w:t>
      </w:r>
      <w:r w:rsidR="00816BDD" w:rsidRPr="004434B7">
        <w:rPr>
          <w:i/>
        </w:rPr>
        <w:t xml:space="preserve">Figure </w:t>
      </w:r>
      <w:r w:rsidR="00816BDD">
        <w:rPr>
          <w:i/>
        </w:rPr>
        <w:t>1</w:t>
      </w:r>
      <w:r w:rsidR="00816BDD" w:rsidRPr="001844C5">
        <w:rPr>
          <w:i/>
        </w:rPr>
        <w:t xml:space="preserve">: Survey-specific estimates and projections of transition ratios </w:t>
      </w:r>
      <w:r w:rsidR="00816BDD">
        <w:rPr>
          <w:i/>
        </w:rPr>
        <w:t xml:space="preserve">from the fifth </w:t>
      </w:r>
      <w:r w:rsidR="00816BDD" w:rsidRPr="001844C5">
        <w:rPr>
          <w:i/>
        </w:rPr>
        <w:t xml:space="preserve">to the </w:t>
      </w:r>
      <w:r w:rsidR="00816BDD">
        <w:rPr>
          <w:i/>
        </w:rPr>
        <w:t xml:space="preserve">sixth birth </w:t>
      </w:r>
      <w:r w:rsidR="00816BDD" w:rsidRPr="001844C5">
        <w:rPr>
          <w:i/>
        </w:rPr>
        <w:t>(in blue; PPR6) and the smooth</w:t>
      </w:r>
      <w:r w:rsidR="00816BDD">
        <w:rPr>
          <w:i/>
        </w:rPr>
        <w:t>ed</w:t>
      </w:r>
      <w:r w:rsidR="00816BDD" w:rsidRPr="001844C5">
        <w:rPr>
          <w:i/>
        </w:rPr>
        <w:t xml:space="preserve"> trend (in red) in urban areas, cohorts 1</w:t>
      </w:r>
      <w:r w:rsidR="00816BDD">
        <w:rPr>
          <w:i/>
        </w:rPr>
        <w:t>926</w:t>
      </w:r>
      <w:r w:rsidR="00816BDD" w:rsidRPr="001844C5">
        <w:rPr>
          <w:i/>
        </w:rPr>
        <w:t>-19</w:t>
      </w:r>
      <w:r w:rsidR="00816BDD">
        <w:rPr>
          <w:i/>
        </w:rPr>
        <w:t>82</w:t>
      </w:r>
      <w:r w:rsidR="00816BDD" w:rsidRPr="001844C5">
        <w:rPr>
          <w:i/>
        </w:rPr>
        <w:t xml:space="preserve"> in selected Asian, Latin American and African countries.</w:t>
      </w:r>
      <w:r w:rsidR="00816BDD">
        <w:rPr>
          <w:i/>
        </w:rPr>
        <w:t xml:space="preserve"> </w:t>
      </w:r>
    </w:p>
    <w:p w:rsidR="00816BDD" w:rsidRDefault="00816BDD" w:rsidP="00816BDD">
      <w:pPr>
        <w:keepNext/>
        <w:keepLines/>
        <w:jc w:val="both"/>
      </w:pPr>
      <w:r>
        <w:rPr>
          <w:noProof/>
        </w:rPr>
        <w:t xml:space="preserve"> </w:t>
      </w:r>
      <w:r>
        <w:rPr>
          <w:noProof/>
        </w:rPr>
        <w:drawing>
          <wp:inline distT="0" distB="0" distL="0" distR="0" wp14:anchorId="0136278E" wp14:editId="15981189">
            <wp:extent cx="5884753" cy="4279820"/>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84018" cy="4279285"/>
                    </a:xfrm>
                    <a:prstGeom prst="rect">
                      <a:avLst/>
                    </a:prstGeom>
                  </pic:spPr>
                </pic:pic>
              </a:graphicData>
            </a:graphic>
          </wp:inline>
        </w:drawing>
      </w:r>
    </w:p>
    <w:p w:rsidR="00816BDD" w:rsidRDefault="00816BDD" w:rsidP="00816BDD">
      <w:pPr>
        <w:keepNext/>
        <w:keepLines/>
        <w:jc w:val="both"/>
      </w:pPr>
      <w:r>
        <w:t xml:space="preserve">Source: DHS &amp; WHS. </w:t>
      </w:r>
    </w:p>
    <w:p w:rsidR="00816BDD" w:rsidRPr="00ED19EE" w:rsidRDefault="00816BDD" w:rsidP="00816BDD">
      <w:pPr>
        <w:keepNext/>
        <w:keepLines/>
        <w:jc w:val="both"/>
        <w:rPr>
          <w:i/>
        </w:rPr>
      </w:pPr>
      <w:r w:rsidRPr="009B76DE">
        <w:t>Note: on each individual blue line, the last two points designate projected values, whereas prior points represent estimates; the survey-specific estimates and projections of lower parity transitions in urban areas, as well as estimates for rural areas, are not shown because they are more congruent to each other when compared to the urban estimates of the transition from the fifth to the sixth birth</w:t>
      </w:r>
      <w:r w:rsidRPr="00ED19EE">
        <w:rPr>
          <w:i/>
        </w:rPr>
        <w:t>.</w:t>
      </w:r>
    </w:p>
    <w:p w:rsidR="00816BDD" w:rsidRDefault="00816BDD" w:rsidP="00816BDD">
      <w:pPr>
        <w:keepNext/>
        <w:keepLines/>
        <w:jc w:val="both"/>
        <w:rPr>
          <w:u w:val="single"/>
        </w:rPr>
      </w:pPr>
    </w:p>
    <w:p w:rsidR="00816BDD" w:rsidRDefault="00816BDD" w:rsidP="00816BDD">
      <w:pPr>
        <w:keepNext/>
        <w:keepLines/>
        <w:jc w:val="both"/>
      </w:pPr>
    </w:p>
    <w:p w:rsidR="00816BDD" w:rsidRDefault="00816BDD" w:rsidP="00816BDD">
      <w:pPr>
        <w:keepNext/>
        <w:keepLines/>
        <w:jc w:val="both"/>
      </w:pPr>
    </w:p>
    <w:p w:rsidR="00816BDD" w:rsidRDefault="00816BDD" w:rsidP="00816BDD">
      <w:pPr>
        <w:jc w:val="both"/>
        <w:rPr>
          <w:i/>
        </w:rPr>
      </w:pPr>
    </w:p>
    <w:p w:rsidR="00816BDD" w:rsidRDefault="00816BDD" w:rsidP="00816BDD">
      <w:pPr>
        <w:jc w:val="both"/>
        <w:rPr>
          <w:i/>
        </w:rPr>
        <w:sectPr w:rsidR="00816BDD" w:rsidSect="00F525B1">
          <w:pgSz w:w="12240" w:h="15840"/>
          <w:pgMar w:top="1440" w:right="1440" w:bottom="1440" w:left="1440" w:header="720" w:footer="720" w:gutter="0"/>
          <w:cols w:space="720"/>
          <w:docGrid w:linePitch="360"/>
        </w:sectPr>
      </w:pPr>
    </w:p>
    <w:p w:rsidR="00816BDD" w:rsidRPr="00E3340E" w:rsidRDefault="007806C5" w:rsidP="00816BDD">
      <w:pPr>
        <w:spacing w:after="0"/>
        <w:jc w:val="both"/>
        <w:rPr>
          <w:i/>
        </w:rPr>
      </w:pPr>
      <w:r>
        <w:rPr>
          <w:i/>
        </w:rPr>
        <w:lastRenderedPageBreak/>
        <w:t>S</w:t>
      </w:r>
      <w:r w:rsidR="00816BDD">
        <w:rPr>
          <w:i/>
        </w:rPr>
        <w:t>-</w:t>
      </w:r>
      <w:r w:rsidR="00816BDD" w:rsidRPr="00E3340E">
        <w:rPr>
          <w:i/>
        </w:rPr>
        <w:t xml:space="preserve">Figure </w:t>
      </w:r>
      <w:r w:rsidR="00816BDD">
        <w:rPr>
          <w:i/>
        </w:rPr>
        <w:t>2</w:t>
      </w:r>
      <w:r w:rsidR="00816BDD" w:rsidRPr="00E3340E">
        <w:rPr>
          <w:i/>
        </w:rPr>
        <w:t xml:space="preserve">: Three estimates of the national-level total cohort fertility </w:t>
      </w:r>
      <w:r w:rsidR="00816BDD">
        <w:rPr>
          <w:i/>
        </w:rPr>
        <w:t xml:space="preserve">trends, </w:t>
      </w:r>
      <w:r w:rsidR="00816BDD" w:rsidRPr="00E3340E">
        <w:rPr>
          <w:i/>
        </w:rPr>
        <w:t xml:space="preserve">as implied by the chaining of cohort PPRs, by cohort age-specific fertility rates, and </w:t>
      </w:r>
      <w:r w:rsidR="00816BDD">
        <w:rPr>
          <w:i/>
        </w:rPr>
        <w:t xml:space="preserve">by the </w:t>
      </w:r>
      <w:r w:rsidR="00816BDD" w:rsidRPr="00E3340E">
        <w:rPr>
          <w:i/>
        </w:rPr>
        <w:t xml:space="preserve">back-translation of </w:t>
      </w:r>
      <w:r w:rsidR="00816BDD">
        <w:rPr>
          <w:i/>
        </w:rPr>
        <w:t xml:space="preserve">period </w:t>
      </w:r>
      <w:r w:rsidR="00816BDD" w:rsidRPr="00E3340E">
        <w:rPr>
          <w:i/>
        </w:rPr>
        <w:t xml:space="preserve">TFRs (by </w:t>
      </w:r>
      <w:r w:rsidR="00816BDD">
        <w:rPr>
          <w:i/>
        </w:rPr>
        <w:t>the mean age at birth</w:t>
      </w:r>
      <w:r w:rsidR="00816BDD" w:rsidRPr="00E3340E">
        <w:rPr>
          <w:i/>
        </w:rPr>
        <w:t>), cohorts 1</w:t>
      </w:r>
      <w:r w:rsidR="00816BDD">
        <w:rPr>
          <w:i/>
        </w:rPr>
        <w:t>896</w:t>
      </w:r>
      <w:r w:rsidR="00816BDD" w:rsidRPr="00E3340E">
        <w:rPr>
          <w:i/>
        </w:rPr>
        <w:t>-198</w:t>
      </w:r>
      <w:r w:rsidR="00816BDD">
        <w:rPr>
          <w:i/>
        </w:rPr>
        <w:t>2</w:t>
      </w:r>
      <w:r w:rsidR="00816BDD" w:rsidRPr="00E3340E">
        <w:rPr>
          <w:i/>
        </w:rPr>
        <w:t xml:space="preserve"> in </w:t>
      </w:r>
      <w:r w:rsidR="00816BDD">
        <w:rPr>
          <w:i/>
        </w:rPr>
        <w:t xml:space="preserve">selected </w:t>
      </w:r>
      <w:r w:rsidR="00816BDD" w:rsidRPr="00E3340E">
        <w:rPr>
          <w:i/>
        </w:rPr>
        <w:t>Asian, Latin American and African countries</w:t>
      </w:r>
      <w:r w:rsidR="00816BDD">
        <w:rPr>
          <w:i/>
        </w:rPr>
        <w:t xml:space="preserve">. </w:t>
      </w:r>
    </w:p>
    <w:p w:rsidR="00816BDD" w:rsidRDefault="00816BDD" w:rsidP="00816BDD">
      <w:pPr>
        <w:spacing w:after="0" w:line="240" w:lineRule="auto"/>
        <w:jc w:val="both"/>
      </w:pPr>
      <w:r>
        <w:rPr>
          <w:noProof/>
        </w:rPr>
        <w:drawing>
          <wp:inline distT="0" distB="0" distL="0" distR="0" wp14:anchorId="0529875F" wp14:editId="253AF957">
            <wp:extent cx="6604782" cy="480190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05829" cy="4802663"/>
                    </a:xfrm>
                    <a:prstGeom prst="rect">
                      <a:avLst/>
                    </a:prstGeom>
                  </pic:spPr>
                </pic:pic>
              </a:graphicData>
            </a:graphic>
          </wp:inline>
        </w:drawing>
      </w:r>
    </w:p>
    <w:p w:rsidR="00816BDD" w:rsidRDefault="00816BDD" w:rsidP="00816BDD">
      <w:pPr>
        <w:spacing w:after="0"/>
        <w:jc w:val="both"/>
        <w:rPr>
          <w:noProof/>
        </w:rPr>
      </w:pPr>
      <w:r>
        <w:t xml:space="preserve">Sources: WFS &amp; DHS, UN World Population Prospects 2015, </w:t>
      </w:r>
      <w:proofErr w:type="spellStart"/>
      <w:r>
        <w:t>Sneeringer</w:t>
      </w:r>
      <w:proofErr w:type="spellEnd"/>
      <w:r>
        <w:t xml:space="preserve"> (2009). Note: BH = Birth history, PPR = parity progression ratio.</w:t>
      </w:r>
    </w:p>
    <w:p w:rsidR="00816BDD" w:rsidRDefault="00816BDD" w:rsidP="00816BDD">
      <w:pPr>
        <w:jc w:val="both"/>
        <w:sectPr w:rsidR="00816BDD" w:rsidSect="003861E8">
          <w:pgSz w:w="15840" w:h="12240" w:orient="landscape"/>
          <w:pgMar w:top="1440" w:right="1440" w:bottom="1440" w:left="1440" w:header="720" w:footer="720" w:gutter="0"/>
          <w:cols w:space="720"/>
          <w:docGrid w:linePitch="360"/>
        </w:sectPr>
      </w:pPr>
    </w:p>
    <w:p w:rsidR="00816BDD" w:rsidRDefault="007806C5" w:rsidP="00816BDD">
      <w:pPr>
        <w:keepNext/>
        <w:keepLines/>
        <w:jc w:val="both"/>
        <w:rPr>
          <w:i/>
        </w:rPr>
      </w:pPr>
      <w:r>
        <w:rPr>
          <w:i/>
        </w:rPr>
        <w:lastRenderedPageBreak/>
        <w:t>S</w:t>
      </w:r>
      <w:r w:rsidR="00816BDD">
        <w:rPr>
          <w:i/>
        </w:rPr>
        <w:t>-</w:t>
      </w:r>
      <w:r w:rsidR="00816BDD" w:rsidRPr="00794DD9">
        <w:rPr>
          <w:i/>
        </w:rPr>
        <w:t xml:space="preserve">Figure </w:t>
      </w:r>
      <w:r w:rsidR="00816BDD">
        <w:rPr>
          <w:i/>
        </w:rPr>
        <w:t>3</w:t>
      </w:r>
      <w:r w:rsidR="00816BDD" w:rsidRPr="00794DD9">
        <w:rPr>
          <w:i/>
        </w:rPr>
        <w:t xml:space="preserve">: </w:t>
      </w:r>
      <w:r w:rsidR="00816BDD">
        <w:rPr>
          <w:i/>
        </w:rPr>
        <w:t>Average and country-specific t</w:t>
      </w:r>
      <w:r w:rsidR="00816BDD" w:rsidRPr="00794DD9">
        <w:rPr>
          <w:i/>
        </w:rPr>
        <w:t>rend</w:t>
      </w:r>
      <w:r w:rsidR="00816BDD">
        <w:rPr>
          <w:i/>
        </w:rPr>
        <w:t>s</w:t>
      </w:r>
      <w:r w:rsidR="00816BDD" w:rsidRPr="00794DD9">
        <w:rPr>
          <w:i/>
        </w:rPr>
        <w:t xml:space="preserve"> in </w:t>
      </w:r>
      <w:r w:rsidR="00816BDD" w:rsidRPr="00332EC4">
        <w:rPr>
          <w:i/>
        </w:rPr>
        <w:t>rural</w:t>
      </w:r>
      <w:r w:rsidR="00816BDD" w:rsidRPr="00794DD9">
        <w:rPr>
          <w:i/>
        </w:rPr>
        <w:t xml:space="preserve"> </w:t>
      </w:r>
      <w:r w:rsidR="00816BDD">
        <w:rPr>
          <w:i/>
        </w:rPr>
        <w:t xml:space="preserve">cohort </w:t>
      </w:r>
      <w:r w:rsidR="00816BDD" w:rsidRPr="00794DD9">
        <w:rPr>
          <w:i/>
        </w:rPr>
        <w:t xml:space="preserve">fertility </w:t>
      </w:r>
      <w:r w:rsidR="00816BDD">
        <w:rPr>
          <w:i/>
        </w:rPr>
        <w:t xml:space="preserve">over the course of </w:t>
      </w:r>
      <w:r w:rsidR="00816BDD" w:rsidRPr="00794DD9">
        <w:rPr>
          <w:i/>
        </w:rPr>
        <w:t>the national fertility transition</w:t>
      </w:r>
      <w:r w:rsidR="00816BDD">
        <w:rPr>
          <w:i/>
        </w:rPr>
        <w:t>s (onset = year 0)</w:t>
      </w:r>
      <w:r w:rsidR="00816BDD" w:rsidRPr="00794DD9">
        <w:rPr>
          <w:i/>
        </w:rPr>
        <w:t>, cohorts 1</w:t>
      </w:r>
      <w:r w:rsidR="00816BDD">
        <w:rPr>
          <w:i/>
        </w:rPr>
        <w:t>896</w:t>
      </w:r>
      <w:r w:rsidR="00816BDD" w:rsidRPr="00794DD9">
        <w:rPr>
          <w:i/>
        </w:rPr>
        <w:t>-19</w:t>
      </w:r>
      <w:r w:rsidR="00816BDD">
        <w:rPr>
          <w:i/>
        </w:rPr>
        <w:t>82 in 60 African, Asian and Latin American countries</w:t>
      </w:r>
      <w:r w:rsidR="00816BDD" w:rsidRPr="00794DD9">
        <w:rPr>
          <w:i/>
        </w:rPr>
        <w:t>.</w:t>
      </w:r>
      <w:r w:rsidR="00816BDD">
        <w:rPr>
          <w:i/>
        </w:rPr>
        <w:t xml:space="preserve"> </w:t>
      </w:r>
    </w:p>
    <w:p w:rsidR="00816BDD" w:rsidRDefault="00816BDD" w:rsidP="00816BDD">
      <w:pPr>
        <w:keepNext/>
        <w:keepLines/>
        <w:jc w:val="both"/>
        <w:rPr>
          <w:i/>
        </w:rPr>
      </w:pPr>
      <w:r>
        <w:rPr>
          <w:noProof/>
        </w:rPr>
        <w:drawing>
          <wp:inline distT="0" distB="0" distL="0" distR="0" wp14:anchorId="41745D49" wp14:editId="282B978E">
            <wp:extent cx="5893806" cy="42848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0660" cy="4289880"/>
                    </a:xfrm>
                    <a:prstGeom prst="rect">
                      <a:avLst/>
                    </a:prstGeom>
                  </pic:spPr>
                </pic:pic>
              </a:graphicData>
            </a:graphic>
          </wp:inline>
        </w:drawing>
      </w:r>
    </w:p>
    <w:p w:rsidR="00816BDD" w:rsidRDefault="00816BDD" w:rsidP="00816BDD">
      <w:r>
        <w:t xml:space="preserve">Source: WFS &amp; DHS, MICS, IPUMS, UN historical estimates and World Population Prospects (2017). </w:t>
      </w:r>
    </w:p>
    <w:p w:rsidR="00816BDD" w:rsidRPr="002F46D2" w:rsidRDefault="00816BDD" w:rsidP="00816BDD">
      <w:pPr>
        <w:rPr>
          <w:i/>
        </w:rPr>
      </w:pPr>
      <w:r w:rsidRPr="009B76DE">
        <w:t xml:space="preserve">Notes: thick lines designate average within-country trends; fine blue lines designate countries with long estimations series; </w:t>
      </w:r>
      <w:proofErr w:type="spellStart"/>
      <w:r w:rsidRPr="009B76DE">
        <w:t>LACarr</w:t>
      </w:r>
      <w:proofErr w:type="spellEnd"/>
      <w:r w:rsidRPr="009B76DE">
        <w:t xml:space="preserve"> = Latin America and the Caribbean, MENA = Middle East and Northern Africa, SSA = sub-Saharan Africa; see Table 2 in Appendix for country acronyms; the onset of the transition corresponds to the calendar year in which the TFR peaked, which was then back-translated by the mean age at birth to get a cohort indicator</w:t>
      </w:r>
      <w:r w:rsidRPr="002F46D2">
        <w:rPr>
          <w:i/>
        </w:rPr>
        <w:t>.</w:t>
      </w:r>
      <w:r w:rsidRPr="002F46D2">
        <w:rPr>
          <w:i/>
        </w:rPr>
        <w:br w:type="page"/>
      </w:r>
    </w:p>
    <w:p w:rsidR="00816BDD" w:rsidRPr="00D87C68" w:rsidRDefault="00816BDD" w:rsidP="00816BDD">
      <w:pPr>
        <w:jc w:val="both"/>
      </w:pPr>
      <w:r>
        <w:lastRenderedPageBreak/>
        <w:fldChar w:fldCharType="begin"/>
      </w:r>
      <w:r>
        <w:instrText xml:space="preserve"> ADDIN </w:instrText>
      </w:r>
      <w:r>
        <w:fldChar w:fldCharType="end"/>
      </w:r>
    </w:p>
    <w:p w:rsidR="00CF74AC" w:rsidRDefault="00CF74AC"/>
    <w:p w:rsidR="00CF74AC" w:rsidRDefault="00CF74AC" w:rsidP="00CF74AC">
      <w:pPr>
        <w:pStyle w:val="Heading2"/>
      </w:pPr>
      <w:r>
        <w:t>References</w:t>
      </w:r>
    </w:p>
    <w:p w:rsidR="00CF74AC" w:rsidRPr="00CF74AC" w:rsidRDefault="00CF74AC" w:rsidP="00CF74AC">
      <w:pPr>
        <w:pStyle w:val="EndNoteBibliography"/>
        <w:spacing w:after="0"/>
      </w:pPr>
      <w:r>
        <w:fldChar w:fldCharType="begin"/>
      </w:r>
      <w:r>
        <w:instrText xml:space="preserve"> ADDIN EN.REFLIST </w:instrText>
      </w:r>
      <w:r>
        <w:fldChar w:fldCharType="separate"/>
      </w:r>
      <w:r w:rsidRPr="00CF74AC">
        <w:t>1.</w:t>
      </w:r>
      <w:r w:rsidRPr="00CF74AC">
        <w:tab/>
        <w:t>Moultrie TA, Sayi TS, Timaeus IM. Birth intervals, postponement, and fertility decline in Africa: A new type of transition. Population Studies. 2012;66(3):241-58.</w:t>
      </w:r>
    </w:p>
    <w:p w:rsidR="00CF74AC" w:rsidRPr="00CF74AC" w:rsidRDefault="00CF74AC" w:rsidP="00CF74AC">
      <w:pPr>
        <w:pStyle w:val="EndNoteBibliography"/>
        <w:spacing w:after="0"/>
      </w:pPr>
      <w:r w:rsidRPr="00CF74AC">
        <w:t>2.</w:t>
      </w:r>
      <w:r w:rsidRPr="00CF74AC">
        <w:tab/>
        <w:t>Brass W, Juarez F. Censored Cohort Parity Progression Ratios from Birth Histories. Asian and Pacific Census Forum. 1983;10(1):5-13.</w:t>
      </w:r>
    </w:p>
    <w:p w:rsidR="00CF74AC" w:rsidRPr="00CF74AC" w:rsidRDefault="00CF74AC" w:rsidP="00CF74AC">
      <w:pPr>
        <w:pStyle w:val="EndNoteBibliography"/>
        <w:spacing w:after="0"/>
      </w:pPr>
      <w:r w:rsidRPr="00CF74AC">
        <w:t>3.</w:t>
      </w:r>
      <w:r w:rsidRPr="00CF74AC">
        <w:tab/>
        <w:t>Moultrie TA, Dorrington R, Hill A, Hill K, Timaeus I, Zaba B. Tools for Demographic Estimation. Paris: International Union for the Scientific Study of Population (IUSSP); 2013.</w:t>
      </w:r>
    </w:p>
    <w:p w:rsidR="00CF74AC" w:rsidRPr="00CF74AC" w:rsidRDefault="00CF74AC" w:rsidP="00CF74AC">
      <w:pPr>
        <w:pStyle w:val="EndNoteBibliography"/>
        <w:spacing w:after="0"/>
      </w:pPr>
      <w:r w:rsidRPr="00CF74AC">
        <w:t>4.</w:t>
      </w:r>
      <w:r w:rsidRPr="00CF74AC">
        <w:tab/>
        <w:t>United Nations. Manual X: Indirect Techniques for Demographic Estimation. Affairs DoIEaS, editor. New York: United Nations; 1983.</w:t>
      </w:r>
    </w:p>
    <w:p w:rsidR="00CF74AC" w:rsidRPr="00CF74AC" w:rsidRDefault="00CF74AC" w:rsidP="00CF74AC">
      <w:pPr>
        <w:pStyle w:val="EndNoteBibliography"/>
        <w:spacing w:after="0"/>
      </w:pPr>
      <w:r w:rsidRPr="00CF74AC">
        <w:t>5.</w:t>
      </w:r>
      <w:r w:rsidRPr="00CF74AC">
        <w:tab/>
        <w:t>Schoumaker B. Quality and Consistency of DHS Fertility Estimates, 1990 to 2012. DHS Methodological Reports. 2014;12:122.</w:t>
      </w:r>
    </w:p>
    <w:p w:rsidR="00CF74AC" w:rsidRPr="00CF74AC" w:rsidRDefault="00CF74AC" w:rsidP="00CF74AC">
      <w:pPr>
        <w:pStyle w:val="EndNoteBibliography"/>
      </w:pPr>
      <w:r w:rsidRPr="00CF74AC">
        <w:t>6.</w:t>
      </w:r>
      <w:r w:rsidRPr="00CF74AC">
        <w:tab/>
        <w:t>Sneeringer SE. Fertility Transition in Sub-Saharan Africa: A Comparative Analysis of Cohort Trends in 30 Countries. Calverton, Maryland, USA: ICF Macro; 2009.  Contract No.: 23.</w:t>
      </w:r>
    </w:p>
    <w:p w:rsidR="00790BDD" w:rsidRDefault="00CF74AC">
      <w:r>
        <w:fldChar w:fldCharType="end"/>
      </w:r>
    </w:p>
    <w:sectPr w:rsidR="00790BDD" w:rsidSect="00F7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1E8"/>
    <w:multiLevelType w:val="hybridMultilevel"/>
    <w:tmpl w:val="4DAAEE14"/>
    <w:lvl w:ilvl="0" w:tplc="568E1B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325B4B"/>
    <w:multiLevelType w:val="hybridMultilevel"/>
    <w:tmpl w:val="128CDC34"/>
    <w:lvl w:ilvl="0" w:tplc="CD3065F6">
      <w:start w:val="705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575E1"/>
    <w:multiLevelType w:val="hybridMultilevel"/>
    <w:tmpl w:val="1C80D2BA"/>
    <w:lvl w:ilvl="0" w:tplc="F07EA73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053A9"/>
    <w:multiLevelType w:val="hybridMultilevel"/>
    <w:tmpl w:val="7C52E52E"/>
    <w:lvl w:ilvl="0" w:tplc="4F8E80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809CA"/>
    <w:multiLevelType w:val="hybridMultilevel"/>
    <w:tmpl w:val="EBD85B00"/>
    <w:lvl w:ilvl="0" w:tplc="B23AEFE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83090"/>
    <w:multiLevelType w:val="hybridMultilevel"/>
    <w:tmpl w:val="425EA694"/>
    <w:lvl w:ilvl="0" w:tplc="FA88D0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D2B2B"/>
    <w:multiLevelType w:val="hybridMultilevel"/>
    <w:tmpl w:val="BBBE1AE2"/>
    <w:lvl w:ilvl="0" w:tplc="E702CA0C">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B0F5F86"/>
    <w:multiLevelType w:val="hybridMultilevel"/>
    <w:tmpl w:val="6EAEA344"/>
    <w:lvl w:ilvl="0" w:tplc="5EF8D3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BA206C"/>
    <w:multiLevelType w:val="hybridMultilevel"/>
    <w:tmpl w:val="8CC263D2"/>
    <w:lvl w:ilvl="0" w:tplc="5778FC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F0FE0"/>
    <w:multiLevelType w:val="hybridMultilevel"/>
    <w:tmpl w:val="C5DAD3FA"/>
    <w:lvl w:ilvl="0" w:tplc="026091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B2222"/>
    <w:multiLevelType w:val="hybridMultilevel"/>
    <w:tmpl w:val="03182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5F42A6"/>
    <w:multiLevelType w:val="hybridMultilevel"/>
    <w:tmpl w:val="A142F588"/>
    <w:lvl w:ilvl="0" w:tplc="3940DB74">
      <w:start w:val="9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E754F"/>
    <w:multiLevelType w:val="hybridMultilevel"/>
    <w:tmpl w:val="666A5A82"/>
    <w:lvl w:ilvl="0" w:tplc="30D26984">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64310A3C"/>
    <w:multiLevelType w:val="hybridMultilevel"/>
    <w:tmpl w:val="CD7A4956"/>
    <w:lvl w:ilvl="0" w:tplc="6380A18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81CA7"/>
    <w:multiLevelType w:val="hybridMultilevel"/>
    <w:tmpl w:val="049874B8"/>
    <w:lvl w:ilvl="0" w:tplc="B9CA0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96F2D"/>
    <w:multiLevelType w:val="hybridMultilevel"/>
    <w:tmpl w:val="6CD2285C"/>
    <w:lvl w:ilvl="0" w:tplc="1ABE5B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7D2F7F"/>
    <w:multiLevelType w:val="hybridMultilevel"/>
    <w:tmpl w:val="196A67AA"/>
    <w:lvl w:ilvl="0" w:tplc="56AEE8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A6004"/>
    <w:multiLevelType w:val="hybridMultilevel"/>
    <w:tmpl w:val="743CBF1A"/>
    <w:lvl w:ilvl="0" w:tplc="7174CE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3"/>
  </w:num>
  <w:num w:numId="5">
    <w:abstractNumId w:val="0"/>
  </w:num>
  <w:num w:numId="6">
    <w:abstractNumId w:val="6"/>
  </w:num>
  <w:num w:numId="7">
    <w:abstractNumId w:val="16"/>
  </w:num>
  <w:num w:numId="8">
    <w:abstractNumId w:val="9"/>
  </w:num>
  <w:num w:numId="9">
    <w:abstractNumId w:val="7"/>
  </w:num>
  <w:num w:numId="10">
    <w:abstractNumId w:val="4"/>
  </w:num>
  <w:num w:numId="11">
    <w:abstractNumId w:val="3"/>
  </w:num>
  <w:num w:numId="12">
    <w:abstractNumId w:val="11"/>
  </w:num>
  <w:num w:numId="13">
    <w:abstractNumId w:val="2"/>
  </w:num>
  <w:num w:numId="14">
    <w:abstractNumId w:val="17"/>
  </w:num>
  <w:num w:numId="15">
    <w:abstractNumId w:val="5"/>
  </w:num>
  <w:num w:numId="16">
    <w:abstractNumId w:val="8"/>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_PLOS_O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svs0sr95tftme5przvzt9yf2fwxzwrwztr&quot;&gt;InternalMigUrbanization4&lt;record-ids&gt;&lt;item&gt;284&lt;/item&gt;&lt;item&gt;314&lt;/item&gt;&lt;item&gt;351&lt;/item&gt;&lt;/record-ids&gt;&lt;/item&gt;&lt;/Libraries&gt;"/>
  </w:docVars>
  <w:rsids>
    <w:rsidRoot w:val="00816BDD"/>
    <w:rsid w:val="0007312B"/>
    <w:rsid w:val="00094981"/>
    <w:rsid w:val="002229B5"/>
    <w:rsid w:val="00432049"/>
    <w:rsid w:val="0054470A"/>
    <w:rsid w:val="00583678"/>
    <w:rsid w:val="006C4F3E"/>
    <w:rsid w:val="00742625"/>
    <w:rsid w:val="007806C5"/>
    <w:rsid w:val="00790BDD"/>
    <w:rsid w:val="00796062"/>
    <w:rsid w:val="00816BDD"/>
    <w:rsid w:val="008B2EE1"/>
    <w:rsid w:val="009B76DE"/>
    <w:rsid w:val="00CF74AC"/>
    <w:rsid w:val="00DF0D84"/>
    <w:rsid w:val="00F87AA5"/>
    <w:rsid w:val="00F9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DD"/>
    <w:rPr>
      <w:rFonts w:ascii="Times New Roman" w:hAnsi="Times New Roman"/>
      <w:sz w:val="24"/>
    </w:rPr>
  </w:style>
  <w:style w:type="paragraph" w:styleId="Heading1">
    <w:name w:val="heading 1"/>
    <w:basedOn w:val="Normal"/>
    <w:next w:val="Normal"/>
    <w:link w:val="Heading1Char"/>
    <w:uiPriority w:val="9"/>
    <w:qFormat/>
    <w:rsid w:val="0007312B"/>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7312B"/>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816BDD"/>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816BDD"/>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12B"/>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07312B"/>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816BDD"/>
    <w:rPr>
      <w:rFonts w:ascii="Times New Roman" w:eastAsiaTheme="majorEastAsia" w:hAnsi="Times New Roman" w:cstheme="majorBidi"/>
      <w:b/>
      <w:bCs/>
      <w:color w:val="4F81BD" w:themeColor="accent1"/>
      <w:sz w:val="24"/>
    </w:rPr>
  </w:style>
  <w:style w:type="character" w:customStyle="1" w:styleId="Heading4Char">
    <w:name w:val="Heading 4 Char"/>
    <w:basedOn w:val="DefaultParagraphFont"/>
    <w:link w:val="Heading4"/>
    <w:uiPriority w:val="9"/>
    <w:semiHidden/>
    <w:rsid w:val="00816BDD"/>
    <w:rPr>
      <w:rFonts w:ascii="Times New Roman" w:eastAsiaTheme="majorEastAsia" w:hAnsi="Times New Roman" w:cstheme="majorBidi"/>
      <w:b/>
      <w:bCs/>
      <w:i/>
      <w:iCs/>
      <w:color w:val="4F81BD" w:themeColor="accent1"/>
      <w:sz w:val="24"/>
    </w:rPr>
  </w:style>
  <w:style w:type="paragraph" w:styleId="Header">
    <w:name w:val="header"/>
    <w:basedOn w:val="Normal"/>
    <w:link w:val="HeaderChar"/>
    <w:uiPriority w:val="99"/>
    <w:unhideWhenUsed/>
    <w:rsid w:val="0081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DD"/>
    <w:rPr>
      <w:rFonts w:ascii="Times New Roman" w:hAnsi="Times New Roman"/>
      <w:sz w:val="24"/>
    </w:rPr>
  </w:style>
  <w:style w:type="paragraph" w:styleId="Footer">
    <w:name w:val="footer"/>
    <w:basedOn w:val="Normal"/>
    <w:link w:val="FooterChar"/>
    <w:uiPriority w:val="99"/>
    <w:unhideWhenUsed/>
    <w:rsid w:val="0081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DD"/>
    <w:rPr>
      <w:rFonts w:ascii="Times New Roman" w:hAnsi="Times New Roman"/>
      <w:sz w:val="24"/>
    </w:rPr>
  </w:style>
  <w:style w:type="paragraph" w:styleId="ListParagraph">
    <w:name w:val="List Paragraph"/>
    <w:basedOn w:val="Normal"/>
    <w:uiPriority w:val="34"/>
    <w:qFormat/>
    <w:rsid w:val="00816BDD"/>
    <w:pPr>
      <w:ind w:left="720"/>
      <w:contextualSpacing/>
    </w:pPr>
  </w:style>
  <w:style w:type="paragraph" w:styleId="FootnoteText">
    <w:name w:val="footnote text"/>
    <w:basedOn w:val="Normal"/>
    <w:link w:val="FootnoteTextChar"/>
    <w:uiPriority w:val="99"/>
    <w:semiHidden/>
    <w:unhideWhenUsed/>
    <w:rsid w:val="00816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BDD"/>
    <w:rPr>
      <w:rFonts w:ascii="Times New Roman" w:hAnsi="Times New Roman"/>
      <w:sz w:val="20"/>
      <w:szCs w:val="20"/>
    </w:rPr>
  </w:style>
  <w:style w:type="character" w:styleId="FootnoteReference">
    <w:name w:val="footnote reference"/>
    <w:basedOn w:val="DefaultParagraphFont"/>
    <w:uiPriority w:val="99"/>
    <w:semiHidden/>
    <w:unhideWhenUsed/>
    <w:rsid w:val="00816BDD"/>
    <w:rPr>
      <w:vertAlign w:val="superscript"/>
    </w:rPr>
  </w:style>
  <w:style w:type="paragraph" w:styleId="BalloonText">
    <w:name w:val="Balloon Text"/>
    <w:basedOn w:val="Normal"/>
    <w:link w:val="BalloonTextChar"/>
    <w:uiPriority w:val="99"/>
    <w:semiHidden/>
    <w:unhideWhenUsed/>
    <w:rsid w:val="00816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DD"/>
    <w:rPr>
      <w:rFonts w:ascii="Tahoma" w:hAnsi="Tahoma" w:cs="Tahoma"/>
      <w:sz w:val="16"/>
      <w:szCs w:val="16"/>
    </w:rPr>
  </w:style>
  <w:style w:type="character" w:styleId="Hyperlink">
    <w:name w:val="Hyperlink"/>
    <w:basedOn w:val="DefaultParagraphFont"/>
    <w:uiPriority w:val="99"/>
    <w:unhideWhenUsed/>
    <w:rsid w:val="00816BDD"/>
    <w:rPr>
      <w:color w:val="0000FF"/>
      <w:u w:val="single"/>
    </w:rPr>
  </w:style>
  <w:style w:type="paragraph" w:styleId="Title">
    <w:name w:val="Title"/>
    <w:basedOn w:val="Normal"/>
    <w:next w:val="Normal"/>
    <w:link w:val="TitleChar"/>
    <w:uiPriority w:val="10"/>
    <w:qFormat/>
    <w:rsid w:val="00816B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BD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16BDD"/>
    <w:rPr>
      <w:color w:val="800080"/>
      <w:u w:val="single"/>
    </w:rPr>
  </w:style>
  <w:style w:type="paragraph" w:customStyle="1" w:styleId="xl65">
    <w:name w:val="xl65"/>
    <w:basedOn w:val="Normal"/>
    <w:rsid w:val="00816BDD"/>
    <w:pPr>
      <w:pBdr>
        <w:top w:val="single" w:sz="4" w:space="0" w:color="auto"/>
      </w:pBdr>
      <w:spacing w:before="100" w:beforeAutospacing="1" w:after="100" w:afterAutospacing="1" w:line="240" w:lineRule="auto"/>
    </w:pPr>
    <w:rPr>
      <w:rFonts w:eastAsia="Times New Roman" w:cs="Times New Roman"/>
      <w:szCs w:val="24"/>
    </w:rPr>
  </w:style>
  <w:style w:type="paragraph" w:customStyle="1" w:styleId="xl66">
    <w:name w:val="xl66"/>
    <w:basedOn w:val="Normal"/>
    <w:rsid w:val="00816BDD"/>
    <w:pPr>
      <w:pBdr>
        <w:top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67">
    <w:name w:val="xl67"/>
    <w:basedOn w:val="Normal"/>
    <w:rsid w:val="00816BDD"/>
    <w:pPr>
      <w:pBdr>
        <w:right w:val="single" w:sz="4" w:space="0" w:color="auto"/>
      </w:pBdr>
      <w:spacing w:before="100" w:beforeAutospacing="1" w:after="100" w:afterAutospacing="1" w:line="240" w:lineRule="auto"/>
    </w:pPr>
    <w:rPr>
      <w:rFonts w:eastAsia="Times New Roman" w:cs="Times New Roman"/>
      <w:szCs w:val="24"/>
    </w:rPr>
  </w:style>
  <w:style w:type="paragraph" w:customStyle="1" w:styleId="xl68">
    <w:name w:val="xl68"/>
    <w:basedOn w:val="Normal"/>
    <w:rsid w:val="00816BDD"/>
    <w:pPr>
      <w:pBdr>
        <w:bottom w:val="single" w:sz="4" w:space="0" w:color="auto"/>
      </w:pBdr>
      <w:spacing w:before="100" w:beforeAutospacing="1" w:after="100" w:afterAutospacing="1" w:line="240" w:lineRule="auto"/>
    </w:pPr>
    <w:rPr>
      <w:rFonts w:eastAsia="Times New Roman" w:cs="Times New Roman"/>
      <w:szCs w:val="24"/>
    </w:rPr>
  </w:style>
  <w:style w:type="paragraph" w:customStyle="1" w:styleId="xl69">
    <w:name w:val="xl69"/>
    <w:basedOn w:val="Normal"/>
    <w:rsid w:val="00816BDD"/>
    <w:pPr>
      <w:pBdr>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70">
    <w:name w:val="xl70"/>
    <w:basedOn w:val="Normal"/>
    <w:rsid w:val="00816BDD"/>
    <w:pPr>
      <w:pBdr>
        <w:top w:val="single" w:sz="4" w:space="0" w:color="auto"/>
      </w:pBdr>
      <w:spacing w:before="100" w:beforeAutospacing="1" w:after="100" w:afterAutospacing="1" w:line="240" w:lineRule="auto"/>
    </w:pPr>
    <w:rPr>
      <w:rFonts w:eastAsia="Times New Roman" w:cs="Times New Roman"/>
      <w:szCs w:val="24"/>
    </w:rPr>
  </w:style>
  <w:style w:type="paragraph" w:customStyle="1" w:styleId="xl71">
    <w:name w:val="xl71"/>
    <w:basedOn w:val="Normal"/>
    <w:rsid w:val="00816BDD"/>
    <w:pPr>
      <w:pBdr>
        <w:bottom w:val="single" w:sz="4" w:space="0" w:color="auto"/>
      </w:pBdr>
      <w:spacing w:before="100" w:beforeAutospacing="1" w:after="100" w:afterAutospacing="1" w:line="240" w:lineRule="auto"/>
    </w:pPr>
    <w:rPr>
      <w:rFonts w:eastAsia="Times New Roman" w:cs="Times New Roman"/>
      <w:szCs w:val="24"/>
    </w:rPr>
  </w:style>
  <w:style w:type="paragraph" w:customStyle="1" w:styleId="xl73">
    <w:name w:val="xl73"/>
    <w:basedOn w:val="Normal"/>
    <w:rsid w:val="00816BDD"/>
    <w:pPr>
      <w:pBdr>
        <w:top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74">
    <w:name w:val="xl74"/>
    <w:basedOn w:val="Normal"/>
    <w:rsid w:val="00816BDD"/>
    <w:pPr>
      <w:pBdr>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75">
    <w:name w:val="xl75"/>
    <w:basedOn w:val="Normal"/>
    <w:rsid w:val="00816BDD"/>
    <w:pPr>
      <w:pBdr>
        <w:top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6">
    <w:name w:val="xl76"/>
    <w:basedOn w:val="Normal"/>
    <w:rsid w:val="00816BDD"/>
    <w:pPr>
      <w:pBdr>
        <w:top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7">
    <w:name w:val="xl77"/>
    <w:basedOn w:val="Normal"/>
    <w:rsid w:val="00816BDD"/>
    <w:pPr>
      <w:pBdr>
        <w:top w:val="single" w:sz="4" w:space="0" w:color="auto"/>
        <w:lef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8">
    <w:name w:val="xl78"/>
    <w:basedOn w:val="Normal"/>
    <w:rsid w:val="00816BDD"/>
    <w:pPr>
      <w:pBdr>
        <w:top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9">
    <w:name w:val="xl79"/>
    <w:basedOn w:val="Normal"/>
    <w:rsid w:val="00816BD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80">
    <w:name w:val="xl80"/>
    <w:basedOn w:val="Normal"/>
    <w:rsid w:val="00816BD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81">
    <w:name w:val="xl81"/>
    <w:basedOn w:val="Normal"/>
    <w:rsid w:val="00816BDD"/>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zCs w:val="24"/>
    </w:rPr>
  </w:style>
  <w:style w:type="paragraph" w:customStyle="1" w:styleId="xl82">
    <w:name w:val="xl82"/>
    <w:basedOn w:val="Normal"/>
    <w:rsid w:val="00816BDD"/>
    <w:pPr>
      <w:pBdr>
        <w:left w:val="single" w:sz="4" w:space="0" w:color="auto"/>
        <w:right w:val="single" w:sz="4" w:space="0" w:color="auto"/>
      </w:pBdr>
      <w:spacing w:before="100" w:beforeAutospacing="1" w:after="100" w:afterAutospacing="1" w:line="240" w:lineRule="auto"/>
      <w:jc w:val="right"/>
    </w:pPr>
    <w:rPr>
      <w:rFonts w:eastAsia="Times New Roman" w:cs="Times New Roman"/>
      <w:szCs w:val="24"/>
    </w:rPr>
  </w:style>
  <w:style w:type="paragraph" w:customStyle="1" w:styleId="xl83">
    <w:name w:val="xl83"/>
    <w:basedOn w:val="Normal"/>
    <w:rsid w:val="00816BDD"/>
    <w:pPr>
      <w:pBdr>
        <w:left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84">
    <w:name w:val="xl84"/>
    <w:basedOn w:val="Normal"/>
    <w:rsid w:val="00816BDD"/>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85">
    <w:name w:val="xl85"/>
    <w:basedOn w:val="Normal"/>
    <w:rsid w:val="00816BD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86">
    <w:name w:val="xl86"/>
    <w:basedOn w:val="Normal"/>
    <w:rsid w:val="00816BDD"/>
    <w:pPr>
      <w:spacing w:before="100" w:beforeAutospacing="1" w:after="100" w:afterAutospacing="1" w:line="240" w:lineRule="auto"/>
      <w:jc w:val="right"/>
    </w:pPr>
    <w:rPr>
      <w:rFonts w:eastAsia="Times New Roman" w:cs="Times New Roman"/>
      <w:szCs w:val="24"/>
    </w:rPr>
  </w:style>
  <w:style w:type="paragraph" w:customStyle="1" w:styleId="xl87">
    <w:name w:val="xl87"/>
    <w:basedOn w:val="Normal"/>
    <w:rsid w:val="00816BDD"/>
    <w:pPr>
      <w:spacing w:before="100" w:beforeAutospacing="1" w:after="100" w:afterAutospacing="1" w:line="240" w:lineRule="auto"/>
      <w:jc w:val="right"/>
    </w:pPr>
    <w:rPr>
      <w:rFonts w:eastAsia="Times New Roman" w:cs="Times New Roman"/>
      <w:szCs w:val="24"/>
    </w:rPr>
  </w:style>
  <w:style w:type="paragraph" w:customStyle="1" w:styleId="xl88">
    <w:name w:val="xl88"/>
    <w:basedOn w:val="Normal"/>
    <w:rsid w:val="00816BDD"/>
    <w:pPr>
      <w:pBdr>
        <w:right w:val="single" w:sz="4" w:space="0" w:color="auto"/>
      </w:pBdr>
      <w:spacing w:before="100" w:beforeAutospacing="1" w:after="100" w:afterAutospacing="1" w:line="240" w:lineRule="auto"/>
      <w:jc w:val="right"/>
    </w:pPr>
    <w:rPr>
      <w:rFonts w:eastAsia="Times New Roman" w:cs="Times New Roman"/>
      <w:szCs w:val="24"/>
    </w:rPr>
  </w:style>
  <w:style w:type="paragraph" w:customStyle="1" w:styleId="xl89">
    <w:name w:val="xl89"/>
    <w:basedOn w:val="Normal"/>
    <w:rsid w:val="00816BDD"/>
    <w:pPr>
      <w:pBdr>
        <w:left w:val="single" w:sz="4" w:space="0" w:color="auto"/>
      </w:pBdr>
      <w:spacing w:before="100" w:beforeAutospacing="1" w:after="100" w:afterAutospacing="1" w:line="240" w:lineRule="auto"/>
    </w:pPr>
    <w:rPr>
      <w:rFonts w:eastAsia="Times New Roman" w:cs="Times New Roman"/>
      <w:szCs w:val="24"/>
    </w:rPr>
  </w:style>
  <w:style w:type="paragraph" w:customStyle="1" w:styleId="xl90">
    <w:name w:val="xl90"/>
    <w:basedOn w:val="Normal"/>
    <w:rsid w:val="00816BDD"/>
    <w:pPr>
      <w:pBdr>
        <w:right w:val="single" w:sz="4" w:space="0" w:color="auto"/>
      </w:pBdr>
      <w:spacing w:before="100" w:beforeAutospacing="1" w:after="100" w:afterAutospacing="1" w:line="240" w:lineRule="auto"/>
    </w:pPr>
    <w:rPr>
      <w:rFonts w:eastAsia="Times New Roman" w:cs="Times New Roman"/>
      <w:szCs w:val="24"/>
    </w:rPr>
  </w:style>
  <w:style w:type="paragraph" w:customStyle="1" w:styleId="xl91">
    <w:name w:val="xl91"/>
    <w:basedOn w:val="Normal"/>
    <w:rsid w:val="00816BDD"/>
    <w:pPr>
      <w:pBdr>
        <w:left w:val="single" w:sz="4" w:space="0" w:color="auto"/>
        <w:bottom w:val="single" w:sz="4" w:space="0" w:color="auto"/>
      </w:pBdr>
      <w:spacing w:before="100" w:beforeAutospacing="1" w:after="100" w:afterAutospacing="1" w:line="240" w:lineRule="auto"/>
    </w:pPr>
    <w:rPr>
      <w:rFonts w:eastAsia="Times New Roman" w:cs="Times New Roman"/>
      <w:szCs w:val="24"/>
    </w:rPr>
  </w:style>
  <w:style w:type="paragraph" w:customStyle="1" w:styleId="xl92">
    <w:name w:val="xl92"/>
    <w:basedOn w:val="Normal"/>
    <w:rsid w:val="00816BDD"/>
    <w:pPr>
      <w:pBdr>
        <w:left w:val="single" w:sz="4" w:space="0" w:color="auto"/>
      </w:pBdr>
      <w:spacing w:before="100" w:beforeAutospacing="1" w:after="100" w:afterAutospacing="1" w:line="240" w:lineRule="auto"/>
    </w:pPr>
    <w:rPr>
      <w:rFonts w:eastAsia="Times New Roman" w:cs="Times New Roman"/>
      <w:szCs w:val="24"/>
    </w:rPr>
  </w:style>
  <w:style w:type="paragraph" w:customStyle="1" w:styleId="xl93">
    <w:name w:val="xl93"/>
    <w:basedOn w:val="Normal"/>
    <w:rsid w:val="00816BDD"/>
    <w:pPr>
      <w:pBdr>
        <w:right w:val="single" w:sz="4" w:space="0" w:color="auto"/>
      </w:pBdr>
      <w:spacing w:before="100" w:beforeAutospacing="1" w:after="100" w:afterAutospacing="1" w:line="240" w:lineRule="auto"/>
    </w:pPr>
    <w:rPr>
      <w:rFonts w:eastAsia="Times New Roman" w:cs="Times New Roman"/>
      <w:szCs w:val="24"/>
    </w:rPr>
  </w:style>
  <w:style w:type="paragraph" w:customStyle="1" w:styleId="xl94">
    <w:name w:val="xl94"/>
    <w:basedOn w:val="Normal"/>
    <w:rsid w:val="00816BDD"/>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95">
    <w:name w:val="xl95"/>
    <w:basedOn w:val="Normal"/>
    <w:rsid w:val="00816BDD"/>
    <w:pPr>
      <w:pBdr>
        <w:top w:val="single" w:sz="4" w:space="0" w:color="auto"/>
        <w:left w:val="single" w:sz="4" w:space="0" w:color="auto"/>
      </w:pBdr>
      <w:spacing w:before="100" w:beforeAutospacing="1" w:after="100" w:afterAutospacing="1" w:line="240" w:lineRule="auto"/>
    </w:pPr>
    <w:rPr>
      <w:rFonts w:eastAsia="Times New Roman" w:cs="Times New Roman"/>
      <w:szCs w:val="24"/>
    </w:rPr>
  </w:style>
  <w:style w:type="paragraph" w:customStyle="1" w:styleId="xl96">
    <w:name w:val="xl96"/>
    <w:basedOn w:val="Normal"/>
    <w:rsid w:val="00816BD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97">
    <w:name w:val="xl97"/>
    <w:basedOn w:val="Normal"/>
    <w:rsid w:val="00816BDD"/>
    <w:pPr>
      <w:pBdr>
        <w:top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98">
    <w:name w:val="xl98"/>
    <w:basedOn w:val="Normal"/>
    <w:rsid w:val="00816BDD"/>
    <w:pPr>
      <w:pBdr>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99">
    <w:name w:val="xl99"/>
    <w:basedOn w:val="Normal"/>
    <w:rsid w:val="00816BDD"/>
    <w:pPr>
      <w:pBdr>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100">
    <w:name w:val="xl100"/>
    <w:basedOn w:val="Normal"/>
    <w:rsid w:val="00816BD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101">
    <w:name w:val="xl101"/>
    <w:basedOn w:val="Normal"/>
    <w:rsid w:val="00816BDD"/>
    <w:pPr>
      <w:pBdr>
        <w:bottom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72">
    <w:name w:val="xl72"/>
    <w:basedOn w:val="Normal"/>
    <w:rsid w:val="00816BDD"/>
    <w:pPr>
      <w:pBdr>
        <w:top w:val="single" w:sz="4" w:space="0" w:color="auto"/>
        <w:left w:val="single" w:sz="4" w:space="0" w:color="auto"/>
      </w:pBdr>
      <w:spacing w:before="100" w:beforeAutospacing="1" w:after="100" w:afterAutospacing="1" w:line="240" w:lineRule="auto"/>
      <w:jc w:val="center"/>
    </w:pPr>
    <w:rPr>
      <w:rFonts w:eastAsia="Times New Roman" w:cs="Times New Roman"/>
      <w:sz w:val="18"/>
      <w:szCs w:val="18"/>
    </w:rPr>
  </w:style>
  <w:style w:type="paragraph" w:customStyle="1" w:styleId="xl102">
    <w:name w:val="xl102"/>
    <w:basedOn w:val="Normal"/>
    <w:rsid w:val="00816BDD"/>
    <w:pPr>
      <w:pBdr>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rPr>
  </w:style>
  <w:style w:type="paragraph" w:customStyle="1" w:styleId="xl103">
    <w:name w:val="xl103"/>
    <w:basedOn w:val="Normal"/>
    <w:rsid w:val="00816BDD"/>
    <w:pPr>
      <w:pBdr>
        <w:bottom w:val="single" w:sz="4" w:space="0" w:color="auto"/>
      </w:pBdr>
      <w:spacing w:before="100" w:beforeAutospacing="1" w:after="100" w:afterAutospacing="1" w:line="240" w:lineRule="auto"/>
      <w:textAlignment w:val="top"/>
    </w:pPr>
    <w:rPr>
      <w:rFonts w:eastAsia="Times New Roman" w:cs="Times New Roman"/>
      <w:sz w:val="18"/>
      <w:szCs w:val="18"/>
    </w:rPr>
  </w:style>
  <w:style w:type="paragraph" w:customStyle="1" w:styleId="xl104">
    <w:name w:val="xl104"/>
    <w:basedOn w:val="Normal"/>
    <w:rsid w:val="00816BDD"/>
    <w:pPr>
      <w:pBdr>
        <w:bottom w:val="single" w:sz="4" w:space="0" w:color="auto"/>
      </w:pBdr>
      <w:spacing w:before="100" w:beforeAutospacing="1" w:after="100" w:afterAutospacing="1" w:line="240" w:lineRule="auto"/>
      <w:textAlignment w:val="top"/>
    </w:pPr>
    <w:rPr>
      <w:rFonts w:eastAsia="Times New Roman" w:cs="Times New Roman"/>
      <w:sz w:val="18"/>
      <w:szCs w:val="18"/>
    </w:rPr>
  </w:style>
  <w:style w:type="character" w:styleId="CommentReference">
    <w:name w:val="annotation reference"/>
    <w:basedOn w:val="DefaultParagraphFont"/>
    <w:uiPriority w:val="99"/>
    <w:semiHidden/>
    <w:unhideWhenUsed/>
    <w:rsid w:val="00816BDD"/>
    <w:rPr>
      <w:sz w:val="16"/>
      <w:szCs w:val="16"/>
    </w:rPr>
  </w:style>
  <w:style w:type="paragraph" w:styleId="CommentText">
    <w:name w:val="annotation text"/>
    <w:basedOn w:val="Normal"/>
    <w:link w:val="CommentTextChar"/>
    <w:uiPriority w:val="99"/>
    <w:semiHidden/>
    <w:unhideWhenUsed/>
    <w:rsid w:val="00816BDD"/>
    <w:pPr>
      <w:spacing w:line="240" w:lineRule="auto"/>
    </w:pPr>
    <w:rPr>
      <w:sz w:val="20"/>
      <w:szCs w:val="20"/>
    </w:rPr>
  </w:style>
  <w:style w:type="character" w:customStyle="1" w:styleId="CommentTextChar">
    <w:name w:val="Comment Text Char"/>
    <w:basedOn w:val="DefaultParagraphFont"/>
    <w:link w:val="CommentText"/>
    <w:uiPriority w:val="99"/>
    <w:semiHidden/>
    <w:rsid w:val="00816B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6BDD"/>
    <w:rPr>
      <w:b/>
      <w:bCs/>
    </w:rPr>
  </w:style>
  <w:style w:type="character" w:customStyle="1" w:styleId="CommentSubjectChar">
    <w:name w:val="Comment Subject Char"/>
    <w:basedOn w:val="CommentTextChar"/>
    <w:link w:val="CommentSubject"/>
    <w:uiPriority w:val="99"/>
    <w:semiHidden/>
    <w:rsid w:val="00816BDD"/>
    <w:rPr>
      <w:rFonts w:ascii="Times New Roman" w:hAnsi="Times New Roman"/>
      <w:b/>
      <w:bCs/>
      <w:sz w:val="20"/>
      <w:szCs w:val="20"/>
    </w:rPr>
  </w:style>
  <w:style w:type="character" w:styleId="PlaceholderText">
    <w:name w:val="Placeholder Text"/>
    <w:basedOn w:val="DefaultParagraphFont"/>
    <w:uiPriority w:val="99"/>
    <w:semiHidden/>
    <w:rsid w:val="00816BDD"/>
    <w:rPr>
      <w:color w:val="808080"/>
    </w:rPr>
  </w:style>
  <w:style w:type="paragraph" w:styleId="EndnoteText">
    <w:name w:val="endnote text"/>
    <w:basedOn w:val="Normal"/>
    <w:link w:val="EndnoteTextChar"/>
    <w:uiPriority w:val="99"/>
    <w:semiHidden/>
    <w:unhideWhenUsed/>
    <w:rsid w:val="00816B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6BDD"/>
    <w:rPr>
      <w:rFonts w:ascii="Times New Roman" w:hAnsi="Times New Roman"/>
      <w:sz w:val="20"/>
      <w:szCs w:val="20"/>
    </w:rPr>
  </w:style>
  <w:style w:type="character" w:styleId="EndnoteReference">
    <w:name w:val="endnote reference"/>
    <w:basedOn w:val="DefaultParagraphFont"/>
    <w:uiPriority w:val="99"/>
    <w:semiHidden/>
    <w:unhideWhenUsed/>
    <w:rsid w:val="00816BDD"/>
    <w:rPr>
      <w:vertAlign w:val="superscript"/>
    </w:rPr>
  </w:style>
  <w:style w:type="paragraph" w:styleId="Revision">
    <w:name w:val="Revision"/>
    <w:hidden/>
    <w:uiPriority w:val="99"/>
    <w:semiHidden/>
    <w:rsid w:val="00816BDD"/>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816BD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816BDD"/>
    <w:rPr>
      <w:rFonts w:ascii="Times New Roman" w:hAnsi="Times New Roman" w:cs="Times New Roman"/>
      <w:noProof/>
      <w:sz w:val="24"/>
    </w:rPr>
  </w:style>
  <w:style w:type="paragraph" w:customStyle="1" w:styleId="EndNoteBibliography">
    <w:name w:val="EndNote Bibliography"/>
    <w:basedOn w:val="Normal"/>
    <w:link w:val="EndNoteBibliographyChar"/>
    <w:rsid w:val="00816BDD"/>
    <w:pPr>
      <w:spacing w:line="240" w:lineRule="auto"/>
      <w:jc w:val="both"/>
    </w:pPr>
    <w:rPr>
      <w:rFonts w:cs="Times New Roman"/>
      <w:noProof/>
    </w:rPr>
  </w:style>
  <w:style w:type="character" w:customStyle="1" w:styleId="EndNoteBibliographyChar">
    <w:name w:val="EndNote Bibliography Char"/>
    <w:basedOn w:val="DefaultParagraphFont"/>
    <w:link w:val="EndNoteBibliography"/>
    <w:rsid w:val="00816BDD"/>
    <w:rPr>
      <w:rFonts w:ascii="Times New Roman" w:hAnsi="Times New Roman" w:cs="Times New Roman"/>
      <w:noProof/>
      <w:sz w:val="24"/>
    </w:rPr>
  </w:style>
  <w:style w:type="character" w:styleId="LineNumber">
    <w:name w:val="line number"/>
    <w:basedOn w:val="DefaultParagraphFont"/>
    <w:uiPriority w:val="99"/>
    <w:semiHidden/>
    <w:unhideWhenUsed/>
    <w:rsid w:val="00816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DD"/>
    <w:rPr>
      <w:rFonts w:ascii="Times New Roman" w:hAnsi="Times New Roman"/>
      <w:sz w:val="24"/>
    </w:rPr>
  </w:style>
  <w:style w:type="paragraph" w:styleId="Heading1">
    <w:name w:val="heading 1"/>
    <w:basedOn w:val="Normal"/>
    <w:next w:val="Normal"/>
    <w:link w:val="Heading1Char"/>
    <w:uiPriority w:val="9"/>
    <w:qFormat/>
    <w:rsid w:val="0007312B"/>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7312B"/>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816BDD"/>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816BDD"/>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12B"/>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07312B"/>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816BDD"/>
    <w:rPr>
      <w:rFonts w:ascii="Times New Roman" w:eastAsiaTheme="majorEastAsia" w:hAnsi="Times New Roman" w:cstheme="majorBidi"/>
      <w:b/>
      <w:bCs/>
      <w:color w:val="4F81BD" w:themeColor="accent1"/>
      <w:sz w:val="24"/>
    </w:rPr>
  </w:style>
  <w:style w:type="character" w:customStyle="1" w:styleId="Heading4Char">
    <w:name w:val="Heading 4 Char"/>
    <w:basedOn w:val="DefaultParagraphFont"/>
    <w:link w:val="Heading4"/>
    <w:uiPriority w:val="9"/>
    <w:semiHidden/>
    <w:rsid w:val="00816BDD"/>
    <w:rPr>
      <w:rFonts w:ascii="Times New Roman" w:eastAsiaTheme="majorEastAsia" w:hAnsi="Times New Roman" w:cstheme="majorBidi"/>
      <w:b/>
      <w:bCs/>
      <w:i/>
      <w:iCs/>
      <w:color w:val="4F81BD" w:themeColor="accent1"/>
      <w:sz w:val="24"/>
    </w:rPr>
  </w:style>
  <w:style w:type="paragraph" w:styleId="Header">
    <w:name w:val="header"/>
    <w:basedOn w:val="Normal"/>
    <w:link w:val="HeaderChar"/>
    <w:uiPriority w:val="99"/>
    <w:unhideWhenUsed/>
    <w:rsid w:val="00816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DD"/>
    <w:rPr>
      <w:rFonts w:ascii="Times New Roman" w:hAnsi="Times New Roman"/>
      <w:sz w:val="24"/>
    </w:rPr>
  </w:style>
  <w:style w:type="paragraph" w:styleId="Footer">
    <w:name w:val="footer"/>
    <w:basedOn w:val="Normal"/>
    <w:link w:val="FooterChar"/>
    <w:uiPriority w:val="99"/>
    <w:unhideWhenUsed/>
    <w:rsid w:val="00816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DD"/>
    <w:rPr>
      <w:rFonts w:ascii="Times New Roman" w:hAnsi="Times New Roman"/>
      <w:sz w:val="24"/>
    </w:rPr>
  </w:style>
  <w:style w:type="paragraph" w:styleId="ListParagraph">
    <w:name w:val="List Paragraph"/>
    <w:basedOn w:val="Normal"/>
    <w:uiPriority w:val="34"/>
    <w:qFormat/>
    <w:rsid w:val="00816BDD"/>
    <w:pPr>
      <w:ind w:left="720"/>
      <w:contextualSpacing/>
    </w:pPr>
  </w:style>
  <w:style w:type="paragraph" w:styleId="FootnoteText">
    <w:name w:val="footnote text"/>
    <w:basedOn w:val="Normal"/>
    <w:link w:val="FootnoteTextChar"/>
    <w:uiPriority w:val="99"/>
    <w:semiHidden/>
    <w:unhideWhenUsed/>
    <w:rsid w:val="00816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BDD"/>
    <w:rPr>
      <w:rFonts w:ascii="Times New Roman" w:hAnsi="Times New Roman"/>
      <w:sz w:val="20"/>
      <w:szCs w:val="20"/>
    </w:rPr>
  </w:style>
  <w:style w:type="character" w:styleId="FootnoteReference">
    <w:name w:val="footnote reference"/>
    <w:basedOn w:val="DefaultParagraphFont"/>
    <w:uiPriority w:val="99"/>
    <w:semiHidden/>
    <w:unhideWhenUsed/>
    <w:rsid w:val="00816BDD"/>
    <w:rPr>
      <w:vertAlign w:val="superscript"/>
    </w:rPr>
  </w:style>
  <w:style w:type="paragraph" w:styleId="BalloonText">
    <w:name w:val="Balloon Text"/>
    <w:basedOn w:val="Normal"/>
    <w:link w:val="BalloonTextChar"/>
    <w:uiPriority w:val="99"/>
    <w:semiHidden/>
    <w:unhideWhenUsed/>
    <w:rsid w:val="00816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DD"/>
    <w:rPr>
      <w:rFonts w:ascii="Tahoma" w:hAnsi="Tahoma" w:cs="Tahoma"/>
      <w:sz w:val="16"/>
      <w:szCs w:val="16"/>
    </w:rPr>
  </w:style>
  <w:style w:type="character" w:styleId="Hyperlink">
    <w:name w:val="Hyperlink"/>
    <w:basedOn w:val="DefaultParagraphFont"/>
    <w:uiPriority w:val="99"/>
    <w:unhideWhenUsed/>
    <w:rsid w:val="00816BDD"/>
    <w:rPr>
      <w:color w:val="0000FF"/>
      <w:u w:val="single"/>
    </w:rPr>
  </w:style>
  <w:style w:type="paragraph" w:styleId="Title">
    <w:name w:val="Title"/>
    <w:basedOn w:val="Normal"/>
    <w:next w:val="Normal"/>
    <w:link w:val="TitleChar"/>
    <w:uiPriority w:val="10"/>
    <w:qFormat/>
    <w:rsid w:val="00816B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BD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16BDD"/>
    <w:rPr>
      <w:color w:val="800080"/>
      <w:u w:val="single"/>
    </w:rPr>
  </w:style>
  <w:style w:type="paragraph" w:customStyle="1" w:styleId="xl65">
    <w:name w:val="xl65"/>
    <w:basedOn w:val="Normal"/>
    <w:rsid w:val="00816BDD"/>
    <w:pPr>
      <w:pBdr>
        <w:top w:val="single" w:sz="4" w:space="0" w:color="auto"/>
      </w:pBdr>
      <w:spacing w:before="100" w:beforeAutospacing="1" w:after="100" w:afterAutospacing="1" w:line="240" w:lineRule="auto"/>
    </w:pPr>
    <w:rPr>
      <w:rFonts w:eastAsia="Times New Roman" w:cs="Times New Roman"/>
      <w:szCs w:val="24"/>
    </w:rPr>
  </w:style>
  <w:style w:type="paragraph" w:customStyle="1" w:styleId="xl66">
    <w:name w:val="xl66"/>
    <w:basedOn w:val="Normal"/>
    <w:rsid w:val="00816BDD"/>
    <w:pPr>
      <w:pBdr>
        <w:top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67">
    <w:name w:val="xl67"/>
    <w:basedOn w:val="Normal"/>
    <w:rsid w:val="00816BDD"/>
    <w:pPr>
      <w:pBdr>
        <w:right w:val="single" w:sz="4" w:space="0" w:color="auto"/>
      </w:pBdr>
      <w:spacing w:before="100" w:beforeAutospacing="1" w:after="100" w:afterAutospacing="1" w:line="240" w:lineRule="auto"/>
    </w:pPr>
    <w:rPr>
      <w:rFonts w:eastAsia="Times New Roman" w:cs="Times New Roman"/>
      <w:szCs w:val="24"/>
    </w:rPr>
  </w:style>
  <w:style w:type="paragraph" w:customStyle="1" w:styleId="xl68">
    <w:name w:val="xl68"/>
    <w:basedOn w:val="Normal"/>
    <w:rsid w:val="00816BDD"/>
    <w:pPr>
      <w:pBdr>
        <w:bottom w:val="single" w:sz="4" w:space="0" w:color="auto"/>
      </w:pBdr>
      <w:spacing w:before="100" w:beforeAutospacing="1" w:after="100" w:afterAutospacing="1" w:line="240" w:lineRule="auto"/>
    </w:pPr>
    <w:rPr>
      <w:rFonts w:eastAsia="Times New Roman" w:cs="Times New Roman"/>
      <w:szCs w:val="24"/>
    </w:rPr>
  </w:style>
  <w:style w:type="paragraph" w:customStyle="1" w:styleId="xl69">
    <w:name w:val="xl69"/>
    <w:basedOn w:val="Normal"/>
    <w:rsid w:val="00816BDD"/>
    <w:pPr>
      <w:pBdr>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70">
    <w:name w:val="xl70"/>
    <w:basedOn w:val="Normal"/>
    <w:rsid w:val="00816BDD"/>
    <w:pPr>
      <w:pBdr>
        <w:top w:val="single" w:sz="4" w:space="0" w:color="auto"/>
      </w:pBdr>
      <w:spacing w:before="100" w:beforeAutospacing="1" w:after="100" w:afterAutospacing="1" w:line="240" w:lineRule="auto"/>
    </w:pPr>
    <w:rPr>
      <w:rFonts w:eastAsia="Times New Roman" w:cs="Times New Roman"/>
      <w:szCs w:val="24"/>
    </w:rPr>
  </w:style>
  <w:style w:type="paragraph" w:customStyle="1" w:styleId="xl71">
    <w:name w:val="xl71"/>
    <w:basedOn w:val="Normal"/>
    <w:rsid w:val="00816BDD"/>
    <w:pPr>
      <w:pBdr>
        <w:bottom w:val="single" w:sz="4" w:space="0" w:color="auto"/>
      </w:pBdr>
      <w:spacing w:before="100" w:beforeAutospacing="1" w:after="100" w:afterAutospacing="1" w:line="240" w:lineRule="auto"/>
    </w:pPr>
    <w:rPr>
      <w:rFonts w:eastAsia="Times New Roman" w:cs="Times New Roman"/>
      <w:szCs w:val="24"/>
    </w:rPr>
  </w:style>
  <w:style w:type="paragraph" w:customStyle="1" w:styleId="xl73">
    <w:name w:val="xl73"/>
    <w:basedOn w:val="Normal"/>
    <w:rsid w:val="00816BDD"/>
    <w:pPr>
      <w:pBdr>
        <w:top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74">
    <w:name w:val="xl74"/>
    <w:basedOn w:val="Normal"/>
    <w:rsid w:val="00816BDD"/>
    <w:pPr>
      <w:pBdr>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75">
    <w:name w:val="xl75"/>
    <w:basedOn w:val="Normal"/>
    <w:rsid w:val="00816BDD"/>
    <w:pPr>
      <w:pBdr>
        <w:top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6">
    <w:name w:val="xl76"/>
    <w:basedOn w:val="Normal"/>
    <w:rsid w:val="00816BDD"/>
    <w:pPr>
      <w:pBdr>
        <w:top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7">
    <w:name w:val="xl77"/>
    <w:basedOn w:val="Normal"/>
    <w:rsid w:val="00816BDD"/>
    <w:pPr>
      <w:pBdr>
        <w:top w:val="single" w:sz="4" w:space="0" w:color="auto"/>
        <w:lef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8">
    <w:name w:val="xl78"/>
    <w:basedOn w:val="Normal"/>
    <w:rsid w:val="00816BDD"/>
    <w:pPr>
      <w:pBdr>
        <w:top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79">
    <w:name w:val="xl79"/>
    <w:basedOn w:val="Normal"/>
    <w:rsid w:val="00816BD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80">
    <w:name w:val="xl80"/>
    <w:basedOn w:val="Normal"/>
    <w:rsid w:val="00816BD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81">
    <w:name w:val="xl81"/>
    <w:basedOn w:val="Normal"/>
    <w:rsid w:val="00816BDD"/>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cs="Times New Roman"/>
      <w:szCs w:val="24"/>
    </w:rPr>
  </w:style>
  <w:style w:type="paragraph" w:customStyle="1" w:styleId="xl82">
    <w:name w:val="xl82"/>
    <w:basedOn w:val="Normal"/>
    <w:rsid w:val="00816BDD"/>
    <w:pPr>
      <w:pBdr>
        <w:left w:val="single" w:sz="4" w:space="0" w:color="auto"/>
        <w:right w:val="single" w:sz="4" w:space="0" w:color="auto"/>
      </w:pBdr>
      <w:spacing w:before="100" w:beforeAutospacing="1" w:after="100" w:afterAutospacing="1" w:line="240" w:lineRule="auto"/>
      <w:jc w:val="right"/>
    </w:pPr>
    <w:rPr>
      <w:rFonts w:eastAsia="Times New Roman" w:cs="Times New Roman"/>
      <w:szCs w:val="24"/>
    </w:rPr>
  </w:style>
  <w:style w:type="paragraph" w:customStyle="1" w:styleId="xl83">
    <w:name w:val="xl83"/>
    <w:basedOn w:val="Normal"/>
    <w:rsid w:val="00816BDD"/>
    <w:pPr>
      <w:pBdr>
        <w:left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84">
    <w:name w:val="xl84"/>
    <w:basedOn w:val="Normal"/>
    <w:rsid w:val="00816BDD"/>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85">
    <w:name w:val="xl85"/>
    <w:basedOn w:val="Normal"/>
    <w:rsid w:val="00816BD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86">
    <w:name w:val="xl86"/>
    <w:basedOn w:val="Normal"/>
    <w:rsid w:val="00816BDD"/>
    <w:pPr>
      <w:spacing w:before="100" w:beforeAutospacing="1" w:after="100" w:afterAutospacing="1" w:line="240" w:lineRule="auto"/>
      <w:jc w:val="right"/>
    </w:pPr>
    <w:rPr>
      <w:rFonts w:eastAsia="Times New Roman" w:cs="Times New Roman"/>
      <w:szCs w:val="24"/>
    </w:rPr>
  </w:style>
  <w:style w:type="paragraph" w:customStyle="1" w:styleId="xl87">
    <w:name w:val="xl87"/>
    <w:basedOn w:val="Normal"/>
    <w:rsid w:val="00816BDD"/>
    <w:pPr>
      <w:spacing w:before="100" w:beforeAutospacing="1" w:after="100" w:afterAutospacing="1" w:line="240" w:lineRule="auto"/>
      <w:jc w:val="right"/>
    </w:pPr>
    <w:rPr>
      <w:rFonts w:eastAsia="Times New Roman" w:cs="Times New Roman"/>
      <w:szCs w:val="24"/>
    </w:rPr>
  </w:style>
  <w:style w:type="paragraph" w:customStyle="1" w:styleId="xl88">
    <w:name w:val="xl88"/>
    <w:basedOn w:val="Normal"/>
    <w:rsid w:val="00816BDD"/>
    <w:pPr>
      <w:pBdr>
        <w:right w:val="single" w:sz="4" w:space="0" w:color="auto"/>
      </w:pBdr>
      <w:spacing w:before="100" w:beforeAutospacing="1" w:after="100" w:afterAutospacing="1" w:line="240" w:lineRule="auto"/>
      <w:jc w:val="right"/>
    </w:pPr>
    <w:rPr>
      <w:rFonts w:eastAsia="Times New Roman" w:cs="Times New Roman"/>
      <w:szCs w:val="24"/>
    </w:rPr>
  </w:style>
  <w:style w:type="paragraph" w:customStyle="1" w:styleId="xl89">
    <w:name w:val="xl89"/>
    <w:basedOn w:val="Normal"/>
    <w:rsid w:val="00816BDD"/>
    <w:pPr>
      <w:pBdr>
        <w:left w:val="single" w:sz="4" w:space="0" w:color="auto"/>
      </w:pBdr>
      <w:spacing w:before="100" w:beforeAutospacing="1" w:after="100" w:afterAutospacing="1" w:line="240" w:lineRule="auto"/>
    </w:pPr>
    <w:rPr>
      <w:rFonts w:eastAsia="Times New Roman" w:cs="Times New Roman"/>
      <w:szCs w:val="24"/>
    </w:rPr>
  </w:style>
  <w:style w:type="paragraph" w:customStyle="1" w:styleId="xl90">
    <w:name w:val="xl90"/>
    <w:basedOn w:val="Normal"/>
    <w:rsid w:val="00816BDD"/>
    <w:pPr>
      <w:pBdr>
        <w:right w:val="single" w:sz="4" w:space="0" w:color="auto"/>
      </w:pBdr>
      <w:spacing w:before="100" w:beforeAutospacing="1" w:after="100" w:afterAutospacing="1" w:line="240" w:lineRule="auto"/>
    </w:pPr>
    <w:rPr>
      <w:rFonts w:eastAsia="Times New Roman" w:cs="Times New Roman"/>
      <w:szCs w:val="24"/>
    </w:rPr>
  </w:style>
  <w:style w:type="paragraph" w:customStyle="1" w:styleId="xl91">
    <w:name w:val="xl91"/>
    <w:basedOn w:val="Normal"/>
    <w:rsid w:val="00816BDD"/>
    <w:pPr>
      <w:pBdr>
        <w:left w:val="single" w:sz="4" w:space="0" w:color="auto"/>
        <w:bottom w:val="single" w:sz="4" w:space="0" w:color="auto"/>
      </w:pBdr>
      <w:spacing w:before="100" w:beforeAutospacing="1" w:after="100" w:afterAutospacing="1" w:line="240" w:lineRule="auto"/>
    </w:pPr>
    <w:rPr>
      <w:rFonts w:eastAsia="Times New Roman" w:cs="Times New Roman"/>
      <w:szCs w:val="24"/>
    </w:rPr>
  </w:style>
  <w:style w:type="paragraph" w:customStyle="1" w:styleId="xl92">
    <w:name w:val="xl92"/>
    <w:basedOn w:val="Normal"/>
    <w:rsid w:val="00816BDD"/>
    <w:pPr>
      <w:pBdr>
        <w:left w:val="single" w:sz="4" w:space="0" w:color="auto"/>
      </w:pBdr>
      <w:spacing w:before="100" w:beforeAutospacing="1" w:after="100" w:afterAutospacing="1" w:line="240" w:lineRule="auto"/>
    </w:pPr>
    <w:rPr>
      <w:rFonts w:eastAsia="Times New Roman" w:cs="Times New Roman"/>
      <w:szCs w:val="24"/>
    </w:rPr>
  </w:style>
  <w:style w:type="paragraph" w:customStyle="1" w:styleId="xl93">
    <w:name w:val="xl93"/>
    <w:basedOn w:val="Normal"/>
    <w:rsid w:val="00816BDD"/>
    <w:pPr>
      <w:pBdr>
        <w:right w:val="single" w:sz="4" w:space="0" w:color="auto"/>
      </w:pBdr>
      <w:spacing w:before="100" w:beforeAutospacing="1" w:after="100" w:afterAutospacing="1" w:line="240" w:lineRule="auto"/>
    </w:pPr>
    <w:rPr>
      <w:rFonts w:eastAsia="Times New Roman" w:cs="Times New Roman"/>
      <w:szCs w:val="24"/>
    </w:rPr>
  </w:style>
  <w:style w:type="paragraph" w:customStyle="1" w:styleId="xl94">
    <w:name w:val="xl94"/>
    <w:basedOn w:val="Normal"/>
    <w:rsid w:val="00816BDD"/>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95">
    <w:name w:val="xl95"/>
    <w:basedOn w:val="Normal"/>
    <w:rsid w:val="00816BDD"/>
    <w:pPr>
      <w:pBdr>
        <w:top w:val="single" w:sz="4" w:space="0" w:color="auto"/>
        <w:left w:val="single" w:sz="4" w:space="0" w:color="auto"/>
      </w:pBdr>
      <w:spacing w:before="100" w:beforeAutospacing="1" w:after="100" w:afterAutospacing="1" w:line="240" w:lineRule="auto"/>
    </w:pPr>
    <w:rPr>
      <w:rFonts w:eastAsia="Times New Roman" w:cs="Times New Roman"/>
      <w:szCs w:val="24"/>
    </w:rPr>
  </w:style>
  <w:style w:type="paragraph" w:customStyle="1" w:styleId="xl96">
    <w:name w:val="xl96"/>
    <w:basedOn w:val="Normal"/>
    <w:rsid w:val="00816BD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97">
    <w:name w:val="xl97"/>
    <w:basedOn w:val="Normal"/>
    <w:rsid w:val="00816BDD"/>
    <w:pPr>
      <w:pBdr>
        <w:top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98">
    <w:name w:val="xl98"/>
    <w:basedOn w:val="Normal"/>
    <w:rsid w:val="00816BDD"/>
    <w:pPr>
      <w:pBdr>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99">
    <w:name w:val="xl99"/>
    <w:basedOn w:val="Normal"/>
    <w:rsid w:val="00816BDD"/>
    <w:pPr>
      <w:pBdr>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100">
    <w:name w:val="xl100"/>
    <w:basedOn w:val="Normal"/>
    <w:rsid w:val="00816BD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101">
    <w:name w:val="xl101"/>
    <w:basedOn w:val="Normal"/>
    <w:rsid w:val="00816BDD"/>
    <w:pPr>
      <w:pBdr>
        <w:bottom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paragraph" w:customStyle="1" w:styleId="xl72">
    <w:name w:val="xl72"/>
    <w:basedOn w:val="Normal"/>
    <w:rsid w:val="00816BDD"/>
    <w:pPr>
      <w:pBdr>
        <w:top w:val="single" w:sz="4" w:space="0" w:color="auto"/>
        <w:left w:val="single" w:sz="4" w:space="0" w:color="auto"/>
      </w:pBdr>
      <w:spacing w:before="100" w:beforeAutospacing="1" w:after="100" w:afterAutospacing="1" w:line="240" w:lineRule="auto"/>
      <w:jc w:val="center"/>
    </w:pPr>
    <w:rPr>
      <w:rFonts w:eastAsia="Times New Roman" w:cs="Times New Roman"/>
      <w:sz w:val="18"/>
      <w:szCs w:val="18"/>
    </w:rPr>
  </w:style>
  <w:style w:type="paragraph" w:customStyle="1" w:styleId="xl102">
    <w:name w:val="xl102"/>
    <w:basedOn w:val="Normal"/>
    <w:rsid w:val="00816BDD"/>
    <w:pPr>
      <w:pBdr>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rPr>
  </w:style>
  <w:style w:type="paragraph" w:customStyle="1" w:styleId="xl103">
    <w:name w:val="xl103"/>
    <w:basedOn w:val="Normal"/>
    <w:rsid w:val="00816BDD"/>
    <w:pPr>
      <w:pBdr>
        <w:bottom w:val="single" w:sz="4" w:space="0" w:color="auto"/>
      </w:pBdr>
      <w:spacing w:before="100" w:beforeAutospacing="1" w:after="100" w:afterAutospacing="1" w:line="240" w:lineRule="auto"/>
      <w:textAlignment w:val="top"/>
    </w:pPr>
    <w:rPr>
      <w:rFonts w:eastAsia="Times New Roman" w:cs="Times New Roman"/>
      <w:sz w:val="18"/>
      <w:szCs w:val="18"/>
    </w:rPr>
  </w:style>
  <w:style w:type="paragraph" w:customStyle="1" w:styleId="xl104">
    <w:name w:val="xl104"/>
    <w:basedOn w:val="Normal"/>
    <w:rsid w:val="00816BDD"/>
    <w:pPr>
      <w:pBdr>
        <w:bottom w:val="single" w:sz="4" w:space="0" w:color="auto"/>
      </w:pBdr>
      <w:spacing w:before="100" w:beforeAutospacing="1" w:after="100" w:afterAutospacing="1" w:line="240" w:lineRule="auto"/>
      <w:textAlignment w:val="top"/>
    </w:pPr>
    <w:rPr>
      <w:rFonts w:eastAsia="Times New Roman" w:cs="Times New Roman"/>
      <w:sz w:val="18"/>
      <w:szCs w:val="18"/>
    </w:rPr>
  </w:style>
  <w:style w:type="character" w:styleId="CommentReference">
    <w:name w:val="annotation reference"/>
    <w:basedOn w:val="DefaultParagraphFont"/>
    <w:uiPriority w:val="99"/>
    <w:semiHidden/>
    <w:unhideWhenUsed/>
    <w:rsid w:val="00816BDD"/>
    <w:rPr>
      <w:sz w:val="16"/>
      <w:szCs w:val="16"/>
    </w:rPr>
  </w:style>
  <w:style w:type="paragraph" w:styleId="CommentText">
    <w:name w:val="annotation text"/>
    <w:basedOn w:val="Normal"/>
    <w:link w:val="CommentTextChar"/>
    <w:uiPriority w:val="99"/>
    <w:semiHidden/>
    <w:unhideWhenUsed/>
    <w:rsid w:val="00816BDD"/>
    <w:pPr>
      <w:spacing w:line="240" w:lineRule="auto"/>
    </w:pPr>
    <w:rPr>
      <w:sz w:val="20"/>
      <w:szCs w:val="20"/>
    </w:rPr>
  </w:style>
  <w:style w:type="character" w:customStyle="1" w:styleId="CommentTextChar">
    <w:name w:val="Comment Text Char"/>
    <w:basedOn w:val="DefaultParagraphFont"/>
    <w:link w:val="CommentText"/>
    <w:uiPriority w:val="99"/>
    <w:semiHidden/>
    <w:rsid w:val="00816B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6BDD"/>
    <w:rPr>
      <w:b/>
      <w:bCs/>
    </w:rPr>
  </w:style>
  <w:style w:type="character" w:customStyle="1" w:styleId="CommentSubjectChar">
    <w:name w:val="Comment Subject Char"/>
    <w:basedOn w:val="CommentTextChar"/>
    <w:link w:val="CommentSubject"/>
    <w:uiPriority w:val="99"/>
    <w:semiHidden/>
    <w:rsid w:val="00816BDD"/>
    <w:rPr>
      <w:rFonts w:ascii="Times New Roman" w:hAnsi="Times New Roman"/>
      <w:b/>
      <w:bCs/>
      <w:sz w:val="20"/>
      <w:szCs w:val="20"/>
    </w:rPr>
  </w:style>
  <w:style w:type="character" w:styleId="PlaceholderText">
    <w:name w:val="Placeholder Text"/>
    <w:basedOn w:val="DefaultParagraphFont"/>
    <w:uiPriority w:val="99"/>
    <w:semiHidden/>
    <w:rsid w:val="00816BDD"/>
    <w:rPr>
      <w:color w:val="808080"/>
    </w:rPr>
  </w:style>
  <w:style w:type="paragraph" w:styleId="EndnoteText">
    <w:name w:val="endnote text"/>
    <w:basedOn w:val="Normal"/>
    <w:link w:val="EndnoteTextChar"/>
    <w:uiPriority w:val="99"/>
    <w:semiHidden/>
    <w:unhideWhenUsed/>
    <w:rsid w:val="00816B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6BDD"/>
    <w:rPr>
      <w:rFonts w:ascii="Times New Roman" w:hAnsi="Times New Roman"/>
      <w:sz w:val="20"/>
      <w:szCs w:val="20"/>
    </w:rPr>
  </w:style>
  <w:style w:type="character" w:styleId="EndnoteReference">
    <w:name w:val="endnote reference"/>
    <w:basedOn w:val="DefaultParagraphFont"/>
    <w:uiPriority w:val="99"/>
    <w:semiHidden/>
    <w:unhideWhenUsed/>
    <w:rsid w:val="00816BDD"/>
    <w:rPr>
      <w:vertAlign w:val="superscript"/>
    </w:rPr>
  </w:style>
  <w:style w:type="paragraph" w:styleId="Revision">
    <w:name w:val="Revision"/>
    <w:hidden/>
    <w:uiPriority w:val="99"/>
    <w:semiHidden/>
    <w:rsid w:val="00816BDD"/>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816BD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816BDD"/>
    <w:rPr>
      <w:rFonts w:ascii="Times New Roman" w:hAnsi="Times New Roman" w:cs="Times New Roman"/>
      <w:noProof/>
      <w:sz w:val="24"/>
    </w:rPr>
  </w:style>
  <w:style w:type="paragraph" w:customStyle="1" w:styleId="EndNoteBibliography">
    <w:name w:val="EndNote Bibliography"/>
    <w:basedOn w:val="Normal"/>
    <w:link w:val="EndNoteBibliographyChar"/>
    <w:rsid w:val="00816BDD"/>
    <w:pPr>
      <w:spacing w:line="240" w:lineRule="auto"/>
      <w:jc w:val="both"/>
    </w:pPr>
    <w:rPr>
      <w:rFonts w:cs="Times New Roman"/>
      <w:noProof/>
    </w:rPr>
  </w:style>
  <w:style w:type="character" w:customStyle="1" w:styleId="EndNoteBibliographyChar">
    <w:name w:val="EndNote Bibliography Char"/>
    <w:basedOn w:val="DefaultParagraphFont"/>
    <w:link w:val="EndNoteBibliography"/>
    <w:rsid w:val="00816BDD"/>
    <w:rPr>
      <w:rFonts w:ascii="Times New Roman" w:hAnsi="Times New Roman" w:cs="Times New Roman"/>
      <w:noProof/>
      <w:sz w:val="24"/>
    </w:rPr>
  </w:style>
  <w:style w:type="character" w:styleId="LineNumber">
    <w:name w:val="line number"/>
    <w:basedOn w:val="DefaultParagraphFont"/>
    <w:uiPriority w:val="99"/>
    <w:semiHidden/>
    <w:unhideWhenUsed/>
    <w:rsid w:val="0081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BD8103FE.dotm</Template>
  <TotalTime>15</TotalTime>
  <Pages>13</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MPI for Demographic Research</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Mathias</dc:creator>
  <cp:lastModifiedBy>Lerch, Mathias</cp:lastModifiedBy>
  <cp:revision>17</cp:revision>
  <cp:lastPrinted>2019-04-25T07:54:00Z</cp:lastPrinted>
  <dcterms:created xsi:type="dcterms:W3CDTF">2019-04-25T15:39:00Z</dcterms:created>
  <dcterms:modified xsi:type="dcterms:W3CDTF">2019-07-11T16:12:00Z</dcterms:modified>
</cp:coreProperties>
</file>